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03A4" w14:textId="49F96AAE" w:rsidR="009C1C2C" w:rsidRDefault="009C1C2C" w:rsidP="00CA735A">
      <w:pPr>
        <w:pStyle w:val="Ttulo1"/>
      </w:pPr>
      <w:bookmarkStart w:id="0" w:name="_Toc80173437"/>
      <w:bookmarkStart w:id="1" w:name="_Toc193705685"/>
      <w:r>
        <w:t xml:space="preserve">Tema 27. </w:t>
      </w:r>
      <w:r w:rsidRPr="009C1C2C">
        <w:t>La Ley 12/2007, de 26 de noviembre, para la promoción de la igualdad en Andalucía: la obligación administrativa de un lenguaje inclusivo. Definición de acoso sexual y acoso por razón de sexo. Presupuestos con enfoque de género.</w:t>
      </w:r>
    </w:p>
    <w:p w14:paraId="11FBB83A" w14:textId="77777777" w:rsidR="009C1C2C" w:rsidRDefault="009C1C2C" w:rsidP="009C1C2C">
      <w:pPr>
        <w:jc w:val="center"/>
        <w:rPr>
          <w:lang w:val="es-ES_tradnl" w:eastAsia="es-ES_tradnl"/>
        </w:rPr>
      </w:pPr>
      <w:r>
        <w:rPr>
          <w:noProof/>
        </w:rPr>
        <w:drawing>
          <wp:inline distT="0" distB="0" distL="0" distR="0" wp14:anchorId="3199287E" wp14:editId="5BB32F88">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00D74F48" w14:textId="77777777" w:rsidR="009C1C2C" w:rsidRPr="00F366E3" w:rsidRDefault="009C1C2C" w:rsidP="009C1C2C">
      <w:pPr>
        <w:rPr>
          <w:rFonts w:ascii="Calibri" w:hAnsi="Calibri" w:cs="Calibri"/>
          <w:lang w:val="es-ES_tradnl" w:eastAsia="es-ES_tradnl"/>
        </w:rPr>
      </w:pPr>
      <w:r w:rsidRPr="00F366E3">
        <w:rPr>
          <w:rFonts w:ascii="Calibri" w:hAnsi="Calibri" w:cs="Calibri"/>
          <w:b/>
          <w:bCs/>
          <w:lang w:val="es-ES_tradnl" w:eastAsia="es-ES_tradnl"/>
        </w:rPr>
        <w:t>Aviso Importante:</w:t>
      </w:r>
      <w:r w:rsidRPr="00F366E3">
        <w:rPr>
          <w:rFonts w:ascii="Calibri" w:hAnsi="Calibri" w:cs="Calibri"/>
          <w:lang w:val="es-ES_tradnl" w:eastAsia="es-ES_tradnl"/>
        </w:rPr>
        <w:t xml:space="preserve"> La página actual solo muestra el título del tema. Para continuar viendo el contenido completo del curso, por favor sigue una de estas opciones:</w:t>
      </w:r>
    </w:p>
    <w:p w14:paraId="5F093833" w14:textId="77777777" w:rsidR="009C1C2C" w:rsidRPr="00F366E3" w:rsidRDefault="009C1C2C" w:rsidP="009C1C2C">
      <w:pPr>
        <w:rPr>
          <w:rFonts w:ascii="Calibri" w:hAnsi="Calibri" w:cs="Calibri"/>
          <w:lang w:val="es-ES_tradnl" w:eastAsia="es-ES_tradnl"/>
        </w:rPr>
      </w:pPr>
      <w:r w:rsidRPr="00F366E3">
        <w:rPr>
          <w:rFonts w:ascii="Calibri" w:hAnsi="Calibri" w:cs="Calibri"/>
          <w:lang w:val="es-ES_tradnl" w:eastAsia="es-ES_tradnl"/>
        </w:rPr>
        <w:t>- Pulsa la flecha que indica hacia la derecha para avanzar al contenido "Siguiente"</w:t>
      </w:r>
    </w:p>
    <w:p w14:paraId="0CDBDE62" w14:textId="1BDD0D50" w:rsidR="009C1C2C" w:rsidRPr="009C1C2C" w:rsidRDefault="009C1C2C" w:rsidP="009C1C2C">
      <w:pPr>
        <w:rPr>
          <w:rFonts w:ascii="Calibri" w:hAnsi="Calibri" w:cs="Calibri"/>
          <w:lang w:val="es-ES_tradnl" w:eastAsia="es-ES_tradnl"/>
        </w:rPr>
      </w:pPr>
      <w:r w:rsidRPr="00F366E3">
        <w:rPr>
          <w:rFonts w:ascii="Calibri" w:hAnsi="Calibri" w:cs="Calibri"/>
          <w:lang w:val="es-ES_tradnl" w:eastAsia="es-ES_tradnl"/>
        </w:rPr>
        <w:t>- Despliega el menú completo del curso, visible en la parte superior izquierda, para navegar por todos los temas disponibles.</w:t>
      </w:r>
    </w:p>
    <w:p w14:paraId="78244604" w14:textId="2365B308" w:rsidR="00CD7388" w:rsidRDefault="00CD7388" w:rsidP="00CA735A">
      <w:pPr>
        <w:pStyle w:val="Ttulo1"/>
      </w:pPr>
      <w:r w:rsidRPr="00CD7388">
        <w:t>1.</w:t>
      </w:r>
      <w:r w:rsidR="00CA735A">
        <w:t xml:space="preserve"> </w:t>
      </w:r>
      <w:r w:rsidRPr="00CD7388">
        <w:t>La obligación administrativa de un lenguaje inclusivo.</w:t>
      </w:r>
      <w:bookmarkEnd w:id="1"/>
      <w:r w:rsidRPr="00CD7388">
        <w:t xml:space="preserve"> </w:t>
      </w:r>
    </w:p>
    <w:p w14:paraId="7B278227" w14:textId="77777777" w:rsidR="00CD7388" w:rsidRPr="00CA735A" w:rsidRDefault="00CD7388" w:rsidP="00CA735A">
      <w:pPr>
        <w:rPr>
          <w:b/>
          <w:bCs/>
          <w:lang w:eastAsia="es-ES"/>
        </w:rPr>
      </w:pPr>
      <w:r w:rsidRPr="00CA735A">
        <w:rPr>
          <w:b/>
          <w:bCs/>
          <w:lang w:eastAsia="es-ES"/>
        </w:rPr>
        <w:t>Artículo 9. Lenguaje no sexista e imagen pública.</w:t>
      </w:r>
    </w:p>
    <w:p w14:paraId="35B90735" w14:textId="77777777" w:rsidR="00CD7388" w:rsidRPr="00CD7388" w:rsidRDefault="00CD7388" w:rsidP="00CA735A">
      <w:pPr>
        <w:rPr>
          <w:lang w:eastAsia="es-ES"/>
        </w:rPr>
      </w:pPr>
      <w:r w:rsidRPr="00CD7388">
        <w:rPr>
          <w:lang w:eastAsia="es-ES"/>
        </w:rPr>
        <w:t>1.</w:t>
      </w:r>
      <w:r w:rsidRPr="00CD7388">
        <w:rPr>
          <w:lang w:eastAsia="es-ES"/>
        </w:rPr>
        <w:t> </w:t>
      </w:r>
      <w:r w:rsidRPr="00CD7388">
        <w:rPr>
          <w:lang w:eastAsia="es-ES"/>
        </w:rPr>
        <w:t>Las Administraciones públicas de Andalucía garantizarán un uso no sexista del lenguaje y un tratamiento igualitario en los contenidos e imágenes que utilicen en el desarrollo de sus políticas, en todos los documentos, titulaciones académicas y soportes que produzcan directamente o bien a través de personas o entidades. Todas las publicaciones y emisiones en las que la Junta de Andalucía participe garantizarán un tratamiento inclusivo y no discriminatorio de las mujeres.</w:t>
      </w:r>
    </w:p>
    <w:p w14:paraId="16564B9B" w14:textId="77777777" w:rsidR="00CD7388" w:rsidRPr="00CD7388" w:rsidRDefault="00CD7388" w:rsidP="00CA735A">
      <w:pPr>
        <w:rPr>
          <w:lang w:eastAsia="es-ES"/>
        </w:rPr>
      </w:pPr>
      <w:r w:rsidRPr="00CD7388">
        <w:rPr>
          <w:lang w:eastAsia="es-ES"/>
        </w:rPr>
        <w:t>2.</w:t>
      </w:r>
      <w:r w:rsidRPr="00CD7388">
        <w:rPr>
          <w:lang w:eastAsia="es-ES"/>
        </w:rPr>
        <w:t> </w:t>
      </w:r>
      <w:r w:rsidRPr="00CD7388">
        <w:rPr>
          <w:lang w:eastAsia="es-ES"/>
        </w:rPr>
        <w:t>Las entidades instrumentales de las Administraciones públicas de Andalucía, así como las corporaciones de derecho público de Andalucía, adaptarán su denominación oficial a un lenguaje no sexista, en el marco de sus respectivas normas reguladoras, y garantizarán un tratamiento igualitario en los contenidos e imágenes que utilicen en el desarrollo de sus actividades y en todos los documentos y soportes que produzcan directamente o bien a través de personas o entidades.</w:t>
      </w:r>
    </w:p>
    <w:p w14:paraId="30745D2E" w14:textId="23B9C6F3" w:rsidR="00CD7388" w:rsidRPr="00CD7388" w:rsidRDefault="00CD7388" w:rsidP="00CA735A">
      <w:pPr>
        <w:rPr>
          <w:lang w:eastAsia="es-ES"/>
        </w:rPr>
      </w:pPr>
      <w:r w:rsidRPr="00CD7388">
        <w:rPr>
          <w:lang w:eastAsia="es-ES"/>
        </w:rPr>
        <w:t>3.</w:t>
      </w:r>
      <w:r w:rsidRPr="00CD7388">
        <w:rPr>
          <w:lang w:eastAsia="es-ES"/>
        </w:rPr>
        <w:t> </w:t>
      </w:r>
      <w:r w:rsidRPr="00CD7388">
        <w:rPr>
          <w:lang w:eastAsia="es-ES"/>
        </w:rPr>
        <w:t>La Administración de la Junta de Andalucía promoverá que los colegios profesionales y las corporaciones de derecho público hagan un uso no sexista del lenguaje y un tratamiento igualitario en los contenidos e imágenes que utilicen.</w:t>
      </w:r>
    </w:p>
    <w:p w14:paraId="229EF54D" w14:textId="1E61BC97" w:rsidR="00CD7388" w:rsidRDefault="00CD7388" w:rsidP="00CA735A">
      <w:pPr>
        <w:pStyle w:val="Ttulo1"/>
      </w:pPr>
      <w:bookmarkStart w:id="2" w:name="_Toc193705686"/>
      <w:r w:rsidRPr="00CD7388">
        <w:lastRenderedPageBreak/>
        <w:t>2.</w:t>
      </w:r>
      <w:r w:rsidR="00CA735A">
        <w:t xml:space="preserve"> </w:t>
      </w:r>
      <w:r w:rsidRPr="00CD7388">
        <w:t>Definición de acoso sexual y acoso por razón de sexo.</w:t>
      </w:r>
      <w:bookmarkEnd w:id="2"/>
      <w:r w:rsidRPr="00CD7388">
        <w:t xml:space="preserve"> </w:t>
      </w:r>
    </w:p>
    <w:p w14:paraId="26324104" w14:textId="77777777" w:rsidR="00CD7388" w:rsidRPr="00CA735A" w:rsidRDefault="00CD7388" w:rsidP="00CA735A">
      <w:pPr>
        <w:rPr>
          <w:b/>
          <w:bCs/>
        </w:rPr>
      </w:pPr>
      <w:r w:rsidRPr="00CA735A">
        <w:rPr>
          <w:b/>
          <w:bCs/>
        </w:rPr>
        <w:t>Artículo 30. Acoso sexual y acoso por razón de sexo.</w:t>
      </w:r>
    </w:p>
    <w:p w14:paraId="70F4FBC2" w14:textId="77777777" w:rsidR="00CD7388" w:rsidRPr="00CD7388" w:rsidRDefault="00CD7388" w:rsidP="00CA735A">
      <w:r w:rsidRPr="00CD7388">
        <w:t>1. Las Administraciones públicas de Andalucía adoptarán las medidas necesarias, en su ámbito competencial, para que exista un entorno laboral libre de acoso sexual y de acoso por razón de sexo. En este sentido, tendrán la consideración de conductas que afectan a la salud laboral, y su tratamiento y prevención deberán abordarse desde esta perspectiva, sin perjuicio de la responsabilidad penal, laboral y civil que se derive.</w:t>
      </w:r>
    </w:p>
    <w:p w14:paraId="016B425B" w14:textId="77777777" w:rsidR="00CD7388" w:rsidRPr="00CD7388" w:rsidRDefault="00CD7388" w:rsidP="00CA735A">
      <w:r w:rsidRPr="00CD7388">
        <w:t>Igualmente, y con esta finalidad, se establecerán medidas que deberán negociarse con los representantes de las trabajadoras y los trabajadores, tales como la elaboración y difusión de códigos de buenas prácticas, la realización de campañas informativas o acciones de formación.</w:t>
      </w:r>
    </w:p>
    <w:p w14:paraId="0ADD60B9" w14:textId="77777777" w:rsidR="00CD7388" w:rsidRPr="00CD7388" w:rsidRDefault="00CD7388" w:rsidP="00CA735A">
      <w:r w:rsidRPr="00CD7388">
        <w:t>2. En todo caso, se considerarán discriminatorios el acoso sexual y el acoso por razón de sexo, y, a tal efecto, las Administraciones públicas arbitrarán los protocolos de actuación con las medidas de prevención y protección necesarias frente a las consecuencias derivadas de estas situaciones, garantizando la prontitud y confidencialidad en la tramitación de las denuncias y el impulso de las medidas cautelares.</w:t>
      </w:r>
    </w:p>
    <w:p w14:paraId="69D44D82" w14:textId="77777777" w:rsidR="00CD7388" w:rsidRPr="00CD7388" w:rsidRDefault="00CD7388" w:rsidP="00CA735A">
      <w:r w:rsidRPr="00CD7388">
        <w:t>3. Los protocolos de actuación contemplarán las indicaciones a seguir ante situaciones de acoso sexual y acoso por razón de sexo.</w:t>
      </w:r>
    </w:p>
    <w:p w14:paraId="10AE5154" w14:textId="77777777" w:rsidR="00CD7388" w:rsidRPr="00CD7388" w:rsidRDefault="00CD7388" w:rsidP="00CA735A">
      <w:r w:rsidRPr="00CD7388">
        <w:t>4. La Consejería competente en materia de igualdad impulsará la elaboración de dichos protocolos y realizará el seguimiento y evaluación de los mismos.</w:t>
      </w:r>
    </w:p>
    <w:p w14:paraId="012BCDB0" w14:textId="11100CA0" w:rsidR="00CD7388" w:rsidRPr="00CD7388" w:rsidRDefault="00CD7388" w:rsidP="00CA735A">
      <w:r w:rsidRPr="00CD7388">
        <w:t>5. Las Administraciones Públicas Andaluzas, en el ámbito de sus competencias, garantizarán el asesoramiento jurídico y psicológico especializado a las víctimas de acoso sexual y acoso relacionado con el sexo y el apoyo en ambos supuestos.</w:t>
      </w:r>
    </w:p>
    <w:p w14:paraId="4735498A" w14:textId="77777777" w:rsidR="00CD7388" w:rsidRPr="00CD7388" w:rsidRDefault="00CD7388" w:rsidP="00CA735A">
      <w:pPr>
        <w:pStyle w:val="Ttulo1"/>
      </w:pPr>
      <w:bookmarkStart w:id="3" w:name="_Toc193705687"/>
      <w:r w:rsidRPr="00CD7388">
        <w:t>3. Presupuestos con enfoque de género.</w:t>
      </w:r>
      <w:bookmarkEnd w:id="3"/>
    </w:p>
    <w:p w14:paraId="7D7591B5" w14:textId="77777777" w:rsidR="00CD7388" w:rsidRPr="00CD7388" w:rsidRDefault="00CD7388" w:rsidP="00CA735A">
      <w:pPr>
        <w:rPr>
          <w:b/>
          <w:bCs/>
          <w:lang w:eastAsia="es-ES"/>
        </w:rPr>
      </w:pPr>
      <w:r w:rsidRPr="00CD7388">
        <w:rPr>
          <w:b/>
          <w:bCs/>
          <w:lang w:eastAsia="es-ES"/>
        </w:rPr>
        <w:t>Artículo 8. Enfoque de género en el presupuesto.</w:t>
      </w:r>
    </w:p>
    <w:p w14:paraId="2263CA69" w14:textId="77777777" w:rsidR="00CD7388" w:rsidRPr="00CD7388" w:rsidRDefault="00CD7388" w:rsidP="00CA735A">
      <w:pPr>
        <w:rPr>
          <w:lang w:eastAsia="es-ES"/>
        </w:rPr>
      </w:pPr>
      <w:r w:rsidRPr="00CD7388">
        <w:rPr>
          <w:lang w:eastAsia="es-ES"/>
        </w:rPr>
        <w:t>El Presupuesto de la Comunidad Autónoma de Andalucía será un elemento activo en la consecución de forma efectiva del objetivo de la igualdad entre mujeres y hombres; a tal fin, la Consejería competente en materia de presupuestos, en coordinación con el conjunto de las Consejerías, con participación del Instituto Andaluz de la Mujer, emitirá el informe de evaluación de impacto de género sobre el proyecto de Ley del Presupuesto de la Comunidad Autónoma de cada ejercicio.</w:t>
      </w:r>
    </w:p>
    <w:p w14:paraId="2D9FC57E" w14:textId="77777777" w:rsidR="003B2FA7" w:rsidRDefault="003B2FA7" w:rsidP="00CA735A">
      <w:pPr>
        <w:rPr>
          <w:lang w:eastAsia="es-ES"/>
        </w:rPr>
      </w:pPr>
    </w:p>
    <w:bookmarkEnd w:id="0"/>
    <w:p w14:paraId="32CC9ACC" w14:textId="77777777" w:rsidR="00646A63" w:rsidRPr="00646A63" w:rsidRDefault="00646A63" w:rsidP="00CA735A"/>
    <w:sectPr w:rsidR="00646A63" w:rsidRPr="00646A63"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1E73" w14:textId="77777777" w:rsidR="008821F3" w:rsidRDefault="008821F3" w:rsidP="00071F1B">
      <w:pPr>
        <w:spacing w:after="0" w:line="240" w:lineRule="auto"/>
      </w:pPr>
      <w:r>
        <w:separator/>
      </w:r>
    </w:p>
  </w:endnote>
  <w:endnote w:type="continuationSeparator" w:id="0">
    <w:p w14:paraId="64943194" w14:textId="77777777" w:rsidR="008821F3" w:rsidRDefault="008821F3"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2AE0E724"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D4D0" w14:textId="77777777" w:rsidR="008821F3" w:rsidRDefault="008821F3" w:rsidP="00071F1B">
      <w:pPr>
        <w:spacing w:after="0" w:line="240" w:lineRule="auto"/>
      </w:pPr>
      <w:r>
        <w:separator/>
      </w:r>
    </w:p>
  </w:footnote>
  <w:footnote w:type="continuationSeparator" w:id="0">
    <w:p w14:paraId="499485FA" w14:textId="77777777" w:rsidR="008821F3" w:rsidRDefault="008821F3"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72EDE307" w:rsidR="00646A63" w:rsidRDefault="00CA735A">
    <w:pPr>
      <w:pStyle w:val="Encabezado"/>
    </w:pPr>
    <w:r w:rsidRPr="00630174">
      <w:rPr>
        <w:noProof/>
        <w:lang w:eastAsia="es-ES"/>
      </w:rPr>
      <mc:AlternateContent>
        <mc:Choice Requires="wps">
          <w:drawing>
            <wp:anchor distT="0" distB="0" distL="0" distR="0" simplePos="0" relativeHeight="251675648" behindDoc="0" locked="0" layoutInCell="1" allowOverlap="1" wp14:anchorId="6814C969" wp14:editId="03916315">
              <wp:simplePos x="0" y="0"/>
              <wp:positionH relativeFrom="rightMargin">
                <wp:posOffset>-140335</wp:posOffset>
              </wp:positionH>
              <wp:positionV relativeFrom="bottomMargin">
                <wp:posOffset>-9594215</wp:posOffset>
              </wp:positionV>
              <wp:extent cx="8064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064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4D175274" w:rsidR="00646A63" w:rsidRPr="0098207D" w:rsidRDefault="00646A63" w:rsidP="0098207D">
                          <w:pPr>
                            <w:pStyle w:val="NTemaencabezado"/>
                          </w:pPr>
                          <w:r w:rsidRPr="0098207D">
                            <w:t xml:space="preserve">Tema </w:t>
                          </w:r>
                          <w:r w:rsidR="00CA735A">
                            <w:t>27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6" style="position:absolute;left:0;text-align:left;margin-left:-11.05pt;margin-top:-755.45pt;width:63.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rjQIAAHEFAAAOAAAAZHJzL2Uyb0RvYy54bWysVMFu2zAMvQ/YPwi6r3aypO2COEWQosOA&#10;oi3aDj0rshQbkEVNUmJnXz9Ksp2u6y7DclAok3wkn0gur7pGkYOwrgZd0MlZTonQHMpa7wr6/fnm&#10;0yUlzjNdMgVaFPQoHL1affywbM1CTKECVQpLEES7RWsKWnlvFlnmeCUa5s7ACI1KCbZhHq92l5WW&#10;tYjeqGya5+dZC7Y0FrhwDr9eJyVdRXwpBff3UjrhiSoo5ubjaeO5DWe2WrLFzjJT1bxPg/1DFg2r&#10;NQYdoa6ZZ2Rv6z+gmppbcCD9GYcmAylrLmINWM0kf1PNU8WMiLUgOc6MNLn/B8vvDk/mwSINrXEL&#10;h2KoopO2Cf+YH+kiWceRLNF5wvHjZX4+myOlHFWf8Slmkczs5Gys818FNCQIBbX4FpEidrh1HgOi&#10;6WASYjlQdXlTKxUvdrfdKEsOLLxbPr9Yn4enQpffzJQmLUa/nOR5hNYQAJKh0mh/KipK/qhEgFf6&#10;UUhSl1jGNDrGfhNjRMa50H6SVBUrRUpknuNvyCN0aPCIWUXAgCwx/ojdAwyWCWTATln29sFVxHYd&#10;nVNFf0ksOY8eMTJoPzo3tQb7XmUKq+ojJ/uBpERNYMl32w5NgriF8vhgiYU0N87wmxof85Y5/8As&#10;Dgq+Pw6/v8dDKsC3gF6ipAL7873vwR77F7WUtDh4BXU/9swKStQ3jZ39ZTLDViI+Xmbziyle7GvN&#10;9rVG75sNYI9McM0YHsVg79UgSgvNC+6IdYiKKqY5xi7odhA3Pq0D3DFcrNfRCGfTMH+rnwwP0IHe&#10;0KrP3Quzpu9nj4NwB8OIssWbtk62wVPDeu9B1rHnT6z2xONcxw7qd1BYHK/v0eq0KVe/AAAA//8D&#10;AFBLAwQUAAYACAAAACEAuYIL9OMAAAAPAQAADwAAAGRycy9kb3ducmV2LnhtbEyPQU+EMBCF7yb+&#10;h2ZMvJjdFhbIipTNasJNE93Vg7curUCkU0K7C/57h5Pe3sx7efNNsZttzy5m9J1DCdFaADNYO91h&#10;I+H9WK22wHxQqFXv0Ej4MR525fVVoXLtJnwzl0NoGJWgz5WENoQh59zXrbHKr91gkLwvN1oVaBwb&#10;rkc1UbnteSxExq3qkC60ajBPram/D2crYfM8bT+zNImr1+PL+Njsq83HXSXl7c28fwAWzBz+wrDg&#10;EzqUxHRyZ9Se9RJWcRxRlESURuIe2JIRCYnTsksykQIvC/7/j/IXAAD//wMAUEsBAi0AFAAGAAgA&#10;AAAhALaDOJL+AAAA4QEAABMAAAAAAAAAAAAAAAAAAAAAAFtDb250ZW50X1R5cGVzXS54bWxQSwEC&#10;LQAUAAYACAAAACEAOP0h/9YAAACUAQAACwAAAAAAAAAAAAAAAAAvAQAAX3JlbHMvLnJlbHNQSwEC&#10;LQAUAAYACAAAACEAfd4/640CAABxBQAADgAAAAAAAAAAAAAAAAAuAgAAZHJzL2Uyb0RvYy54bWxQ&#10;SwECLQAUAAYACAAAACEAuYIL9OMAAAAPAQAADwAAAAAAAAAAAAAAAADnBAAAZHJzL2Rvd25yZXYu&#10;eG1sUEsFBgAAAAAEAAQA8wAAAPcFAAAAAA==&#10;" fillcolor="#0057a6" stroked="f" strokeweight="3pt">
              <v:textbox>
                <w:txbxContent>
                  <w:p w14:paraId="17B67B02" w14:textId="4D175274" w:rsidR="00646A63" w:rsidRPr="0098207D" w:rsidRDefault="00646A63" w:rsidP="0098207D">
                    <w:pPr>
                      <w:pStyle w:val="NTemaencabezado"/>
                    </w:pPr>
                    <w:r w:rsidRPr="0098207D">
                      <w:t xml:space="preserve">Tema </w:t>
                    </w:r>
                    <w:r w:rsidR="00CA735A">
                      <w:t>27</w:t>
                    </w:r>
                  </w:p>
                </w:txbxContent>
              </v:textbox>
              <w10:wrap type="square" anchorx="margin" anchory="margin"/>
            </v:rect>
          </w:pict>
        </mc:Fallback>
      </mc:AlternateContent>
    </w:r>
    <w:r>
      <w:rPr>
        <w:noProof/>
        <w:lang w:eastAsia="es-ES"/>
      </w:rPr>
      <mc:AlternateContent>
        <mc:Choice Requires="wps">
          <w:drawing>
            <wp:anchor distT="45720" distB="45720" distL="114300" distR="114300" simplePos="0" relativeHeight="251678720" behindDoc="0" locked="0" layoutInCell="1" allowOverlap="1" wp14:anchorId="3C1B93B1" wp14:editId="2B2B7729">
              <wp:simplePos x="0" y="0"/>
              <wp:positionH relativeFrom="column">
                <wp:posOffset>-386715</wp:posOffset>
              </wp:positionH>
              <wp:positionV relativeFrom="paragraph">
                <wp:posOffset>-213360</wp:posOffset>
              </wp:positionV>
              <wp:extent cx="5600700" cy="5238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3875"/>
                      </a:xfrm>
                      <a:prstGeom prst="rect">
                        <a:avLst/>
                      </a:prstGeom>
                      <a:solidFill>
                        <a:srgbClr val="FFFFFF"/>
                      </a:solidFill>
                      <a:ln w="9525">
                        <a:noFill/>
                        <a:miter lim="800000"/>
                        <a:headEnd/>
                        <a:tailEnd/>
                      </a:ln>
                    </wps:spPr>
                    <wps:txbx>
                      <w:txbxContent>
                        <w:p w14:paraId="798CC7EE" w14:textId="6AB41ED0" w:rsidR="00646A63" w:rsidRPr="00CA735A" w:rsidRDefault="00CA735A" w:rsidP="0098207D">
                          <w:pPr>
                            <w:pStyle w:val="Nombretemaencabezado"/>
                            <w:rPr>
                              <w:sz w:val="20"/>
                              <w:szCs w:val="20"/>
                            </w:rPr>
                          </w:pPr>
                          <w:r w:rsidRPr="00CA735A">
                            <w:rPr>
                              <w:sz w:val="20"/>
                              <w:szCs w:val="20"/>
                            </w:rPr>
                            <w:t>La Ley 12/2007, de 26 de noviembre, para la promoción de la igualdad en Andalucía: la obligación administrativa de un lenguaje inclusivo. Definición de acoso sexual y acoso por razón de sexo. Presupuestos con enfoque de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7" type="#_x0000_t202" style="position:absolute;left:0;text-align:left;margin-left:-30.45pt;margin-top:-16.8pt;width:441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zXEAIAAP0DAAAOAAAAZHJzL2Uyb0RvYy54bWysU9uO2yAQfa/Uf0C8N3bSeDdrxVlts01V&#10;aXuRtv0ADDhGxQwFEjv9+h2wN5u2b1V5QAwznJk5c1jfDp0mR+m8AlPR+SynRBoOQpl9Rb9/271Z&#10;UeIDM4JpMLKiJ+np7eb1q3VvS7mAFrSQjiCI8WVvK9qGYMss87yVHfMzsNKgswHXsYCm22fCsR7R&#10;O50t8vwq68EJ64BL7/H2fnTSTcJvGsnDl6bxMhBdUawtpN2lvY57tlmzcu+YbRWfymD/UEXHlMGk&#10;Z6h7Fhg5OPUXVKe4Aw9NmHHoMmgaxWXqAbuZ539089gyK1MvSI63Z5r8/4Pln4+P9qsjYXgHAw4w&#10;NeHtA/AfnhjYtszs5Z1z0LeSCUw8j5RlvfXl9DRS7UsfQer+EwgcMjsESEBD47rICvZJEB0HcDqT&#10;LodAOF4WV3l+naOLo69YvF1dFykFK59fW+fDBwkdiYeKOhxqQmfHBx9iNax8DonJPGgldkrrZLh9&#10;vdWOHBkKYJfWhP5bmDakr+hNsSgSsoH4PmmjUwEFqlVX0VUe1yiZyMZ7I1JIYEqPZ6xEm4meyMjI&#10;TRjqgSgxcRfZqkGckC8Hox7x/+ChBfeLkh61WFH/88CcpER/NMj5zXy5jOJNxrK4XqDhLj31pYcZ&#10;jlAVDZSMx21Igo90GLjD2TQq0fZSyVQyaiyxOf2HKOJLO0W9/NrNEwAAAP//AwBQSwMEFAAGAAgA&#10;AAAhABsZKlTfAAAACgEAAA8AAABkcnMvZG93bnJldi54bWxMj8FOg0AQhu8mvsNmTLyYdqGtFJCl&#10;URON19Y+wMBOgcjOEnZb6Nu7nuxtJvPln+8vdrPpxYVG11lWEC8jEMS11R03Co7fH4sUhPPIGnvL&#10;pOBKDnbl/V2BubYT7+ly8I0IIexyVNB6P+RSurolg25pB+JwO9nRoA/r2Eg94hTCTS9XUZRIgx2H&#10;Dy0O9N5S/XM4GwWnr+npOZuqT3/c7jfJG3bbyl6VenyYX19AeJr9Pwx/+kEdyuBU2TNrJ3oFiyTK&#10;AhqG9ToBEYh0FccgKgWbNANZFvK2QvkLAAD//wMAUEsBAi0AFAAGAAgAAAAhALaDOJL+AAAA4QEA&#10;ABMAAAAAAAAAAAAAAAAAAAAAAFtDb250ZW50X1R5cGVzXS54bWxQSwECLQAUAAYACAAAACEAOP0h&#10;/9YAAACUAQAACwAAAAAAAAAAAAAAAAAvAQAAX3JlbHMvLnJlbHNQSwECLQAUAAYACAAAACEAew/M&#10;1xACAAD9AwAADgAAAAAAAAAAAAAAAAAuAgAAZHJzL2Uyb0RvYy54bWxQSwECLQAUAAYACAAAACEA&#10;GxkqVN8AAAAKAQAADwAAAAAAAAAAAAAAAABqBAAAZHJzL2Rvd25yZXYueG1sUEsFBgAAAAAEAAQA&#10;8wAAAHYFAAAAAA==&#10;" stroked="f">
              <v:textbox>
                <w:txbxContent>
                  <w:p w14:paraId="798CC7EE" w14:textId="6AB41ED0" w:rsidR="00646A63" w:rsidRPr="00CA735A" w:rsidRDefault="00CA735A" w:rsidP="0098207D">
                    <w:pPr>
                      <w:pStyle w:val="Nombretemaencabezado"/>
                      <w:rPr>
                        <w:sz w:val="20"/>
                        <w:szCs w:val="20"/>
                      </w:rPr>
                    </w:pPr>
                    <w:r w:rsidRPr="00CA735A">
                      <w:rPr>
                        <w:sz w:val="20"/>
                        <w:szCs w:val="20"/>
                      </w:rPr>
                      <w:t>La Ley 12/2007, de 26 de noviembre, para la promoción de la igualdad en Andalucía: la obligación administrativa de un lenguaje inclusivo. Definición de acoso sexual y acoso por razón de sexo. Presupuestos con enfoque de género.</w:t>
                    </w:r>
                  </w:p>
                </w:txbxContent>
              </v:textbox>
              <w10:wrap type="square"/>
            </v:shape>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674E"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1"/>
  </w:num>
  <w:num w:numId="5" w16cid:durableId="1233731569">
    <w:abstractNumId w:val="1"/>
  </w:num>
  <w:num w:numId="6" w16cid:durableId="711467126">
    <w:abstractNumId w:val="15"/>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27"/>
  </w:num>
  <w:num w:numId="15" w16cid:durableId="1654795031">
    <w:abstractNumId w:val="10"/>
  </w:num>
  <w:num w:numId="16" w16cid:durableId="8223060">
    <w:abstractNumId w:val="11"/>
  </w:num>
  <w:num w:numId="17" w16cid:durableId="765468905">
    <w:abstractNumId w:val="23"/>
  </w:num>
  <w:num w:numId="18" w16cid:durableId="1661428263">
    <w:abstractNumId w:val="22"/>
  </w:num>
  <w:num w:numId="19" w16cid:durableId="989941054">
    <w:abstractNumId w:val="17"/>
  </w:num>
  <w:num w:numId="20" w16cid:durableId="216624235">
    <w:abstractNumId w:val="14"/>
  </w:num>
  <w:num w:numId="21" w16cid:durableId="2131849842">
    <w:abstractNumId w:val="16"/>
  </w:num>
  <w:num w:numId="22" w16cid:durableId="1501430039">
    <w:abstractNumId w:val="24"/>
  </w:num>
  <w:num w:numId="23" w16cid:durableId="1500005089">
    <w:abstractNumId w:val="9"/>
  </w:num>
  <w:num w:numId="24" w16cid:durableId="34936452">
    <w:abstractNumId w:val="20"/>
  </w:num>
  <w:num w:numId="25" w16cid:durableId="1714578075">
    <w:abstractNumId w:val="18"/>
  </w:num>
  <w:num w:numId="26" w16cid:durableId="1237087268">
    <w:abstractNumId w:val="25"/>
  </w:num>
  <w:num w:numId="27" w16cid:durableId="89083753">
    <w:abstractNumId w:val="13"/>
  </w:num>
  <w:num w:numId="28" w16cid:durableId="48117276">
    <w:abstractNumId w:val="19"/>
  </w:num>
  <w:num w:numId="29" w16cid:durableId="1949850273">
    <w:abstractNumId w:val="12"/>
  </w:num>
  <w:num w:numId="30" w16cid:durableId="721058383">
    <w:abstractNumId w:val="28"/>
  </w:num>
  <w:num w:numId="31" w16cid:durableId="231039823">
    <w:abstractNumId w:val="26"/>
  </w:num>
  <w:num w:numId="32" w16cid:durableId="882599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10299D"/>
    <w:rsid w:val="00120B0F"/>
    <w:rsid w:val="001354D5"/>
    <w:rsid w:val="0017117D"/>
    <w:rsid w:val="00174B00"/>
    <w:rsid w:val="001F4890"/>
    <w:rsid w:val="00202BBC"/>
    <w:rsid w:val="00203C68"/>
    <w:rsid w:val="00216BC3"/>
    <w:rsid w:val="00241A6D"/>
    <w:rsid w:val="002426FC"/>
    <w:rsid w:val="002637BB"/>
    <w:rsid w:val="002A0230"/>
    <w:rsid w:val="002A088A"/>
    <w:rsid w:val="00322198"/>
    <w:rsid w:val="003705F0"/>
    <w:rsid w:val="003B2FA7"/>
    <w:rsid w:val="00426A8B"/>
    <w:rsid w:val="00443E73"/>
    <w:rsid w:val="004550EC"/>
    <w:rsid w:val="004D0A71"/>
    <w:rsid w:val="004D1AE7"/>
    <w:rsid w:val="005112D9"/>
    <w:rsid w:val="00512B20"/>
    <w:rsid w:val="00516314"/>
    <w:rsid w:val="00527131"/>
    <w:rsid w:val="00547529"/>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9E"/>
    <w:rsid w:val="006D78E2"/>
    <w:rsid w:val="00710018"/>
    <w:rsid w:val="0077215F"/>
    <w:rsid w:val="0078381F"/>
    <w:rsid w:val="00790722"/>
    <w:rsid w:val="007A080B"/>
    <w:rsid w:val="007A5064"/>
    <w:rsid w:val="007A7078"/>
    <w:rsid w:val="007D49BC"/>
    <w:rsid w:val="007E099B"/>
    <w:rsid w:val="007F6C7B"/>
    <w:rsid w:val="008033E5"/>
    <w:rsid w:val="00812D9F"/>
    <w:rsid w:val="00860B84"/>
    <w:rsid w:val="00863A86"/>
    <w:rsid w:val="008821F3"/>
    <w:rsid w:val="008864B3"/>
    <w:rsid w:val="00894D55"/>
    <w:rsid w:val="008B3261"/>
    <w:rsid w:val="008E0FE5"/>
    <w:rsid w:val="008E1703"/>
    <w:rsid w:val="008E3C91"/>
    <w:rsid w:val="0091504E"/>
    <w:rsid w:val="009455C6"/>
    <w:rsid w:val="00977861"/>
    <w:rsid w:val="0098190E"/>
    <w:rsid w:val="0098207D"/>
    <w:rsid w:val="009846BC"/>
    <w:rsid w:val="0098588E"/>
    <w:rsid w:val="009A0ED7"/>
    <w:rsid w:val="009A4CBB"/>
    <w:rsid w:val="009B25AC"/>
    <w:rsid w:val="009C1131"/>
    <w:rsid w:val="009C1C2C"/>
    <w:rsid w:val="009D4223"/>
    <w:rsid w:val="009D6636"/>
    <w:rsid w:val="009E6C5E"/>
    <w:rsid w:val="009F13F5"/>
    <w:rsid w:val="00A0622B"/>
    <w:rsid w:val="00A23EDF"/>
    <w:rsid w:val="00A43753"/>
    <w:rsid w:val="00A70429"/>
    <w:rsid w:val="00A740A1"/>
    <w:rsid w:val="00A825C9"/>
    <w:rsid w:val="00A84923"/>
    <w:rsid w:val="00A859AB"/>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1363"/>
    <w:rsid w:val="00C03364"/>
    <w:rsid w:val="00C12461"/>
    <w:rsid w:val="00C901E4"/>
    <w:rsid w:val="00CA70A2"/>
    <w:rsid w:val="00CA735A"/>
    <w:rsid w:val="00CB2695"/>
    <w:rsid w:val="00CB4DCE"/>
    <w:rsid w:val="00CD1391"/>
    <w:rsid w:val="00CD7388"/>
    <w:rsid w:val="00CE7CA2"/>
    <w:rsid w:val="00D0068B"/>
    <w:rsid w:val="00D637F1"/>
    <w:rsid w:val="00D856B6"/>
    <w:rsid w:val="00DC3CA1"/>
    <w:rsid w:val="00E41023"/>
    <w:rsid w:val="00E43CB1"/>
    <w:rsid w:val="00E676C2"/>
    <w:rsid w:val="00EA23FA"/>
    <w:rsid w:val="00EA576F"/>
    <w:rsid w:val="00EC12E9"/>
    <w:rsid w:val="00EC2750"/>
    <w:rsid w:val="00EE7EF7"/>
    <w:rsid w:val="00F64886"/>
    <w:rsid w:val="00F8559A"/>
    <w:rsid w:val="00F93D29"/>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5A"/>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CA735A"/>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5E44E4"/>
    <w:pPr>
      <w:keepNext/>
      <w:keepLines/>
      <w:spacing w:after="0" w:line="276" w:lineRule="auto"/>
      <w:outlineLvl w:val="1"/>
    </w:pPr>
    <w:rPr>
      <w:rFonts w:asciiTheme="majorHAnsi" w:eastAsiaTheme="majorEastAsia" w:hAnsiTheme="majorHAnsi" w:cstheme="majorBidi"/>
      <w:i/>
      <w:szCs w:val="26"/>
    </w:rPr>
  </w:style>
  <w:style w:type="paragraph" w:styleId="Ttulo3">
    <w:name w:val="heading 3"/>
    <w:basedOn w:val="Normal"/>
    <w:next w:val="Normal"/>
    <w:link w:val="Ttulo3Car"/>
    <w:uiPriority w:val="9"/>
    <w:unhideWhenUsed/>
    <w:qFormat/>
    <w:rsid w:val="009A4CBB"/>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CD7388"/>
    <w:pPr>
      <w:spacing w:before="0"/>
      <w:jc w:val="left"/>
    </w:pPr>
    <w:rPr>
      <w:rFonts w:ascii="Lato" w:eastAsia="Times New Roman" w:hAnsi="Lato" w:cs="Times New Roman"/>
      <w:sz w:val="48"/>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CA735A"/>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E44E4"/>
    <w:rPr>
      <w:rFonts w:asciiTheme="majorHAnsi" w:eastAsiaTheme="majorEastAsia" w:hAnsiTheme="majorHAnsi" w:cstheme="majorBidi"/>
      <w:i/>
      <w:color w:val="262626" w:themeColor="text1" w:themeTint="D9"/>
      <w:sz w:val="24"/>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9A4CBB"/>
    <w:rPr>
      <w:rFonts w:asciiTheme="majorHAnsi" w:eastAsiaTheme="majorEastAsia" w:hAnsiTheme="majorHAnsi" w:cstheme="majorBidi"/>
      <w:b/>
      <w:bCs/>
      <w:color w:val="5B9BD5" w:themeColor="accent1"/>
      <w:sz w:val="24"/>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46538507">
      <w:bodyDiv w:val="1"/>
      <w:marLeft w:val="0"/>
      <w:marRight w:val="0"/>
      <w:marTop w:val="0"/>
      <w:marBottom w:val="0"/>
      <w:divBdr>
        <w:top w:val="none" w:sz="0" w:space="0" w:color="auto"/>
        <w:left w:val="none" w:sz="0" w:space="0" w:color="auto"/>
        <w:bottom w:val="none" w:sz="0" w:space="0" w:color="auto"/>
        <w:right w:val="none" w:sz="0" w:space="0" w:color="auto"/>
      </w:divBdr>
    </w:div>
    <w:div w:id="247816407">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44080035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27442999">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768355940">
      <w:bodyDiv w:val="1"/>
      <w:marLeft w:val="0"/>
      <w:marRight w:val="0"/>
      <w:marTop w:val="0"/>
      <w:marBottom w:val="0"/>
      <w:divBdr>
        <w:top w:val="none" w:sz="0" w:space="0" w:color="auto"/>
        <w:left w:val="none" w:sz="0" w:space="0" w:color="auto"/>
        <w:bottom w:val="none" w:sz="0" w:space="0" w:color="auto"/>
        <w:right w:val="none" w:sz="0" w:space="0" w:color="auto"/>
      </w:divBdr>
    </w:div>
    <w:div w:id="801771242">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385450878">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543635913">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4</cp:revision>
  <dcterms:created xsi:type="dcterms:W3CDTF">2025-03-24T09:48:00Z</dcterms:created>
  <dcterms:modified xsi:type="dcterms:W3CDTF">2025-03-24T09:48:00Z</dcterms:modified>
</cp:coreProperties>
</file>