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AC18" w14:textId="22116FEF" w:rsidR="00A46E25" w:rsidRDefault="00DA26C5" w:rsidP="00A46E25">
      <w:pPr>
        <w:pStyle w:val="Ttulo1"/>
      </w:pPr>
      <w:bookmarkStart w:id="0" w:name="_Toc195604668"/>
      <w:r>
        <w:t>Tema 15.</w:t>
      </w:r>
      <w:bookmarkEnd w:id="0"/>
      <w:r>
        <w:t xml:space="preserve"> </w:t>
      </w:r>
      <w:r w:rsidRPr="00DA26C5">
        <w:t>La Unión Europea. Instituciones. El ordenamiento jurídico de la Comunidad Europea. La recepción, aplicación y control del derecho comunitario en España.</w:t>
      </w:r>
    </w:p>
    <w:p w14:paraId="55C9D065" w14:textId="77777777" w:rsidR="0053245F" w:rsidRPr="0053245F" w:rsidRDefault="0053245F" w:rsidP="0053245F">
      <w:r w:rsidRPr="0053245F">
        <w:t>La Unión Europea (UE) representa un modelo único de integración política y económica entre Estados soberanos. España, como Estado miembro desde 1986, participa plenamente en sus instituciones y está vinculada por su ordenamiento jurídico. El conocimiento de su estructura institucional y jurídica es fundamental para comprender su influencia directa en el derecho interno español.</w:t>
      </w:r>
    </w:p>
    <w:p w14:paraId="2495BC24" w14:textId="6B0B3E46" w:rsidR="0053245F" w:rsidRPr="0053245F" w:rsidRDefault="0053245F" w:rsidP="0053245F">
      <w:pPr>
        <w:pStyle w:val="Ttulo1"/>
      </w:pPr>
      <w:bookmarkStart w:id="1" w:name="_Toc195604669"/>
      <w:r>
        <w:t>1</w:t>
      </w:r>
      <w:r w:rsidRPr="0053245F">
        <w:t>. O</w:t>
      </w:r>
      <w:r w:rsidR="0075536D" w:rsidRPr="0053245F">
        <w:t>rigen y evolución de la unión europea</w:t>
      </w:r>
      <w:r w:rsidR="0075536D">
        <w:t>.</w:t>
      </w:r>
      <w:bookmarkEnd w:id="1"/>
    </w:p>
    <w:p w14:paraId="1F5F84B3" w14:textId="77777777" w:rsidR="0053245F" w:rsidRPr="0053245F" w:rsidRDefault="0053245F" w:rsidP="0053245F">
      <w:pPr>
        <w:numPr>
          <w:ilvl w:val="0"/>
          <w:numId w:val="11"/>
        </w:numPr>
      </w:pPr>
      <w:r w:rsidRPr="0053245F">
        <w:t>Tratado de París (1951): CECA</w:t>
      </w:r>
    </w:p>
    <w:p w14:paraId="2E7295C7" w14:textId="77777777" w:rsidR="0053245F" w:rsidRPr="0053245F" w:rsidRDefault="0053245F" w:rsidP="0053245F">
      <w:pPr>
        <w:numPr>
          <w:ilvl w:val="0"/>
          <w:numId w:val="11"/>
        </w:numPr>
      </w:pPr>
      <w:r w:rsidRPr="0053245F">
        <w:t>Tratado de Roma (1957): CEE y EURATOM</w:t>
      </w:r>
    </w:p>
    <w:p w14:paraId="7CE8C975" w14:textId="77777777" w:rsidR="0053245F" w:rsidRPr="0053245F" w:rsidRDefault="0053245F" w:rsidP="0053245F">
      <w:pPr>
        <w:numPr>
          <w:ilvl w:val="0"/>
          <w:numId w:val="11"/>
        </w:numPr>
      </w:pPr>
      <w:r w:rsidRPr="0053245F">
        <w:t>Acta Única Europea (1986)</w:t>
      </w:r>
    </w:p>
    <w:p w14:paraId="0985895D" w14:textId="77777777" w:rsidR="0053245F" w:rsidRPr="0053245F" w:rsidRDefault="0053245F" w:rsidP="0053245F">
      <w:pPr>
        <w:numPr>
          <w:ilvl w:val="0"/>
          <w:numId w:val="11"/>
        </w:numPr>
      </w:pPr>
      <w:r w:rsidRPr="0053245F">
        <w:t>Tratado de Maastricht (1992)</w:t>
      </w:r>
    </w:p>
    <w:p w14:paraId="62F37200" w14:textId="77777777" w:rsidR="0053245F" w:rsidRPr="0053245F" w:rsidRDefault="0053245F" w:rsidP="0053245F">
      <w:pPr>
        <w:numPr>
          <w:ilvl w:val="0"/>
          <w:numId w:val="11"/>
        </w:numPr>
      </w:pPr>
      <w:r w:rsidRPr="0053245F">
        <w:t>Tratados de Ámsterdam (1997), Niza (2001), Lisboa (2007)</w:t>
      </w:r>
    </w:p>
    <w:p w14:paraId="53A9A644" w14:textId="4EDCAB65" w:rsidR="0053245F" w:rsidRPr="0053245F" w:rsidRDefault="0053245F" w:rsidP="0053245F">
      <w:pPr>
        <w:pStyle w:val="Ttulo1"/>
      </w:pPr>
      <w:bookmarkStart w:id="2" w:name="_Toc195604670"/>
      <w:r>
        <w:t>2.</w:t>
      </w:r>
      <w:r w:rsidRPr="0053245F">
        <w:t xml:space="preserve"> N</w:t>
      </w:r>
      <w:r w:rsidR="0075536D" w:rsidRPr="0053245F">
        <w:t>aturaleza jurídica de la unión europea</w:t>
      </w:r>
      <w:r w:rsidR="0075536D">
        <w:t>.</w:t>
      </w:r>
      <w:bookmarkEnd w:id="2"/>
    </w:p>
    <w:p w14:paraId="2E5C5745" w14:textId="76CC6D1B" w:rsidR="0053245F" w:rsidRPr="0053245F" w:rsidRDefault="0053245F" w:rsidP="0053245F">
      <w:r w:rsidRPr="0053245F">
        <w:t xml:space="preserve">La UE es una organización internacional </w:t>
      </w:r>
      <w:r w:rsidRPr="0053245F">
        <w:rPr>
          <w:b/>
          <w:bCs/>
        </w:rPr>
        <w:t>sui generis</w:t>
      </w:r>
      <w:r w:rsidRPr="0053245F">
        <w:t xml:space="preserve">, dotada de </w:t>
      </w:r>
      <w:r w:rsidRPr="0053245F">
        <w:rPr>
          <w:b/>
          <w:bCs/>
        </w:rPr>
        <w:t>personalidad jurídica propia</w:t>
      </w:r>
      <w:r w:rsidRPr="0053245F">
        <w:t xml:space="preserve"> (</w:t>
      </w:r>
      <w:r w:rsidR="008B3292">
        <w:t>artículo</w:t>
      </w:r>
      <w:r w:rsidRPr="0053245F">
        <w:t xml:space="preserve"> 47 TUE), que combina elementos intergubernamentales y supranacionales. Su derecho es obligatorio y prevalente para los Estados miembros.</w:t>
      </w:r>
    </w:p>
    <w:p w14:paraId="5DBCA8DE" w14:textId="5E24F389" w:rsidR="0053245F" w:rsidRPr="0053245F" w:rsidRDefault="0053245F" w:rsidP="0053245F">
      <w:pPr>
        <w:pStyle w:val="Ttulo1"/>
      </w:pPr>
      <w:bookmarkStart w:id="3" w:name="_Toc195604671"/>
      <w:r>
        <w:t>3</w:t>
      </w:r>
      <w:r w:rsidRPr="0053245F">
        <w:t>. L</w:t>
      </w:r>
      <w:r w:rsidR="0075536D" w:rsidRPr="0053245F">
        <w:t>as instituciones de la unión europea</w:t>
      </w:r>
      <w:r w:rsidR="0075536D">
        <w:t>.</w:t>
      </w:r>
      <w:bookmarkEnd w:id="3"/>
    </w:p>
    <w:p w14:paraId="29A73ADF" w14:textId="5A3EA910" w:rsidR="0053245F" w:rsidRPr="0053245F" w:rsidRDefault="0053245F" w:rsidP="0053245F">
      <w:pPr>
        <w:pStyle w:val="Ttulo2"/>
      </w:pPr>
      <w:bookmarkStart w:id="4" w:name="_Toc195604672"/>
      <w:r>
        <w:t>3</w:t>
      </w:r>
      <w:r w:rsidRPr="0053245F">
        <w:t>.1. Parlamento Europeo (</w:t>
      </w:r>
      <w:r w:rsidR="008B3292">
        <w:t>artículo</w:t>
      </w:r>
      <w:r w:rsidRPr="0053245F">
        <w:t xml:space="preserve"> 14 TUE)</w:t>
      </w:r>
      <w:r>
        <w:t>.</w:t>
      </w:r>
      <w:bookmarkEnd w:id="4"/>
    </w:p>
    <w:p w14:paraId="0F8A37E9" w14:textId="77777777" w:rsidR="0053245F" w:rsidRPr="0053245F" w:rsidRDefault="0053245F" w:rsidP="0053245F">
      <w:pPr>
        <w:numPr>
          <w:ilvl w:val="0"/>
          <w:numId w:val="12"/>
        </w:numPr>
      </w:pPr>
      <w:r w:rsidRPr="0053245F">
        <w:t>Representa a los ciudadanos.</w:t>
      </w:r>
    </w:p>
    <w:p w14:paraId="448F9047" w14:textId="77777777" w:rsidR="0053245F" w:rsidRPr="0053245F" w:rsidRDefault="0053245F" w:rsidP="0053245F">
      <w:pPr>
        <w:numPr>
          <w:ilvl w:val="0"/>
          <w:numId w:val="12"/>
        </w:numPr>
      </w:pPr>
      <w:r w:rsidRPr="0053245F">
        <w:t>Funciones legislativas, presupuestarias y de control político.</w:t>
      </w:r>
    </w:p>
    <w:p w14:paraId="529EDB31" w14:textId="68D06307" w:rsidR="0053245F" w:rsidRPr="0053245F" w:rsidRDefault="0053245F" w:rsidP="0053245F">
      <w:pPr>
        <w:pStyle w:val="Ttulo2"/>
      </w:pPr>
      <w:bookmarkStart w:id="5" w:name="_Toc195604673"/>
      <w:r>
        <w:t>3</w:t>
      </w:r>
      <w:r w:rsidRPr="0053245F">
        <w:t>.2. Consejo Europeo (</w:t>
      </w:r>
      <w:r w:rsidR="008B3292">
        <w:t>artículo</w:t>
      </w:r>
      <w:r w:rsidRPr="0053245F">
        <w:t xml:space="preserve"> 15 TUE)</w:t>
      </w:r>
      <w:r>
        <w:t>.</w:t>
      </w:r>
      <w:bookmarkEnd w:id="5"/>
    </w:p>
    <w:p w14:paraId="334BDA1E" w14:textId="77777777" w:rsidR="0053245F" w:rsidRPr="0053245F" w:rsidRDefault="0053245F" w:rsidP="0053245F">
      <w:pPr>
        <w:numPr>
          <w:ilvl w:val="0"/>
          <w:numId w:val="13"/>
        </w:numPr>
      </w:pPr>
      <w:r w:rsidRPr="0053245F">
        <w:t>Define las orientaciones generales de la UE.</w:t>
      </w:r>
    </w:p>
    <w:p w14:paraId="7FFB7947" w14:textId="77777777" w:rsidR="0053245F" w:rsidRPr="0053245F" w:rsidRDefault="0053245F" w:rsidP="0053245F">
      <w:pPr>
        <w:numPr>
          <w:ilvl w:val="0"/>
          <w:numId w:val="13"/>
        </w:numPr>
      </w:pPr>
      <w:r w:rsidRPr="0053245F">
        <w:t>Formado por jefes de Estado o Gobierno.</w:t>
      </w:r>
    </w:p>
    <w:p w14:paraId="6D688476" w14:textId="02767977" w:rsidR="0053245F" w:rsidRPr="0053245F" w:rsidRDefault="0053245F" w:rsidP="0053245F">
      <w:pPr>
        <w:pStyle w:val="Ttulo2"/>
      </w:pPr>
      <w:bookmarkStart w:id="6" w:name="_Toc195604674"/>
      <w:r>
        <w:t>3</w:t>
      </w:r>
      <w:r w:rsidRPr="0053245F">
        <w:t>.3. Consejo de la Unión Europea (</w:t>
      </w:r>
      <w:r w:rsidR="008B3292">
        <w:t>artículo</w:t>
      </w:r>
      <w:r w:rsidRPr="0053245F">
        <w:t xml:space="preserve"> 16 TUE)</w:t>
      </w:r>
      <w:r>
        <w:t>.</w:t>
      </w:r>
      <w:bookmarkEnd w:id="6"/>
    </w:p>
    <w:p w14:paraId="5DAEA3D1" w14:textId="77777777" w:rsidR="0053245F" w:rsidRPr="0053245F" w:rsidRDefault="0053245F" w:rsidP="0053245F">
      <w:pPr>
        <w:numPr>
          <w:ilvl w:val="0"/>
          <w:numId w:val="14"/>
        </w:numPr>
      </w:pPr>
      <w:r w:rsidRPr="0053245F">
        <w:t>Representa a los Estados miembros.</w:t>
      </w:r>
    </w:p>
    <w:p w14:paraId="0FCF79FF" w14:textId="77777777" w:rsidR="0053245F" w:rsidRPr="0053245F" w:rsidRDefault="0053245F" w:rsidP="0053245F">
      <w:pPr>
        <w:numPr>
          <w:ilvl w:val="0"/>
          <w:numId w:val="14"/>
        </w:numPr>
      </w:pPr>
      <w:r w:rsidRPr="0053245F">
        <w:lastRenderedPageBreak/>
        <w:t>Adopta legislación y coordina políticas.</w:t>
      </w:r>
    </w:p>
    <w:p w14:paraId="2587E2C9" w14:textId="2AEBD8E1" w:rsidR="0053245F" w:rsidRPr="0053245F" w:rsidRDefault="0053245F" w:rsidP="0053245F">
      <w:pPr>
        <w:pStyle w:val="Ttulo2"/>
      </w:pPr>
      <w:bookmarkStart w:id="7" w:name="_Toc195604675"/>
      <w:r>
        <w:t>3</w:t>
      </w:r>
      <w:r w:rsidRPr="0053245F">
        <w:t>.4. Comisión Europea (</w:t>
      </w:r>
      <w:r w:rsidR="008B3292">
        <w:t>artículo</w:t>
      </w:r>
      <w:r w:rsidRPr="0053245F">
        <w:t xml:space="preserve"> 17 TUE)</w:t>
      </w:r>
      <w:r>
        <w:t>.</w:t>
      </w:r>
      <w:bookmarkEnd w:id="7"/>
    </w:p>
    <w:p w14:paraId="691406DE" w14:textId="77777777" w:rsidR="0053245F" w:rsidRPr="0053245F" w:rsidRDefault="0053245F" w:rsidP="0053245F">
      <w:pPr>
        <w:numPr>
          <w:ilvl w:val="0"/>
          <w:numId w:val="15"/>
        </w:numPr>
      </w:pPr>
      <w:r w:rsidRPr="0053245F">
        <w:t>Ejecutiva de la UE.</w:t>
      </w:r>
    </w:p>
    <w:p w14:paraId="40586849" w14:textId="77777777" w:rsidR="0053245F" w:rsidRPr="0053245F" w:rsidRDefault="0053245F" w:rsidP="0053245F">
      <w:pPr>
        <w:numPr>
          <w:ilvl w:val="0"/>
          <w:numId w:val="15"/>
        </w:numPr>
      </w:pPr>
      <w:r w:rsidRPr="0053245F">
        <w:t>Vela por el cumplimiento del Derecho de la Unión.</w:t>
      </w:r>
    </w:p>
    <w:p w14:paraId="1AA5991B" w14:textId="5A3052DD" w:rsidR="0053245F" w:rsidRPr="0053245F" w:rsidRDefault="0053245F" w:rsidP="0053245F">
      <w:pPr>
        <w:pStyle w:val="Ttulo2"/>
      </w:pPr>
      <w:bookmarkStart w:id="8" w:name="_Toc195604676"/>
      <w:r>
        <w:t>3</w:t>
      </w:r>
      <w:r w:rsidRPr="0053245F">
        <w:t>.5. Tribunal de Justicia de la Unión Europea (</w:t>
      </w:r>
      <w:r w:rsidR="008B3292">
        <w:t>artículo</w:t>
      </w:r>
      <w:r w:rsidRPr="0053245F">
        <w:t xml:space="preserve"> 19 TUE)</w:t>
      </w:r>
      <w:r>
        <w:t>.</w:t>
      </w:r>
      <w:bookmarkEnd w:id="8"/>
    </w:p>
    <w:p w14:paraId="5DEF5974" w14:textId="77777777" w:rsidR="0053245F" w:rsidRPr="0053245F" w:rsidRDefault="0053245F" w:rsidP="0053245F">
      <w:pPr>
        <w:numPr>
          <w:ilvl w:val="0"/>
          <w:numId w:val="16"/>
        </w:numPr>
      </w:pPr>
      <w:r w:rsidRPr="0053245F">
        <w:t>Interpreta y garantiza la aplicación del Derecho de la UE.</w:t>
      </w:r>
    </w:p>
    <w:p w14:paraId="42479D45" w14:textId="113166DA" w:rsidR="0053245F" w:rsidRPr="0053245F" w:rsidRDefault="0053245F" w:rsidP="0053245F">
      <w:pPr>
        <w:pStyle w:val="Ttulo2"/>
      </w:pPr>
      <w:bookmarkStart w:id="9" w:name="_Toc195604677"/>
      <w:r>
        <w:t>3</w:t>
      </w:r>
      <w:r w:rsidRPr="0053245F">
        <w:t>.6. Otras instituciones</w:t>
      </w:r>
      <w:r>
        <w:t>.</w:t>
      </w:r>
      <w:bookmarkEnd w:id="9"/>
    </w:p>
    <w:p w14:paraId="6D6F8704" w14:textId="6F07C81D" w:rsidR="0053245F" w:rsidRPr="0053245F" w:rsidRDefault="0053245F" w:rsidP="0053245F">
      <w:pPr>
        <w:numPr>
          <w:ilvl w:val="0"/>
          <w:numId w:val="17"/>
        </w:numPr>
      </w:pPr>
      <w:r w:rsidRPr="0053245F">
        <w:t>Banco Central Europeo, Tribunal de Cuentas, Comité Económico y Social, Comité de las Regiones.</w:t>
      </w:r>
    </w:p>
    <w:p w14:paraId="6C00A121" w14:textId="4D62D713" w:rsidR="0053245F" w:rsidRPr="0053245F" w:rsidRDefault="0053245F" w:rsidP="0053245F">
      <w:pPr>
        <w:pStyle w:val="Ttulo1"/>
      </w:pPr>
      <w:bookmarkStart w:id="10" w:name="_Toc195604678"/>
      <w:r>
        <w:t>4</w:t>
      </w:r>
      <w:r w:rsidRPr="0053245F">
        <w:t>. E</w:t>
      </w:r>
      <w:r w:rsidR="0075536D" w:rsidRPr="0053245F">
        <w:t>l ordenamiento jurídico de la unión europea</w:t>
      </w:r>
      <w:r w:rsidR="0075536D">
        <w:t>.</w:t>
      </w:r>
      <w:bookmarkEnd w:id="10"/>
    </w:p>
    <w:p w14:paraId="6F325E08" w14:textId="080D9EA2" w:rsidR="0053245F" w:rsidRPr="0053245F" w:rsidRDefault="0053245F" w:rsidP="0053245F">
      <w:pPr>
        <w:pStyle w:val="Ttulo2"/>
      </w:pPr>
      <w:bookmarkStart w:id="11" w:name="_Toc195604679"/>
      <w:r>
        <w:t>4</w:t>
      </w:r>
      <w:r w:rsidRPr="0053245F">
        <w:t>.1. Derecho originario</w:t>
      </w:r>
      <w:r>
        <w:t>.</w:t>
      </w:r>
      <w:bookmarkEnd w:id="11"/>
    </w:p>
    <w:p w14:paraId="7A4E3A3C" w14:textId="77777777" w:rsidR="0053245F" w:rsidRPr="0053245F" w:rsidRDefault="0053245F" w:rsidP="0053245F">
      <w:r w:rsidRPr="0053245F">
        <w:t>El Derecho originario es la base constitucional del ordenamiento de la Unión Europea. Comprende:</w:t>
      </w:r>
    </w:p>
    <w:p w14:paraId="261D0E34" w14:textId="6C154BE6" w:rsidR="0053245F" w:rsidRPr="0053245F" w:rsidRDefault="0053245F" w:rsidP="0053245F">
      <w:pPr>
        <w:rPr>
          <w:b/>
          <w:bCs/>
        </w:rPr>
      </w:pPr>
      <w:r w:rsidRPr="0053245F">
        <w:rPr>
          <w:b/>
          <w:bCs/>
        </w:rPr>
        <w:t>A) Componentes</w:t>
      </w:r>
      <w:r>
        <w:rPr>
          <w:b/>
          <w:bCs/>
        </w:rPr>
        <w:t>.</w:t>
      </w:r>
    </w:p>
    <w:p w14:paraId="43B6A4DA" w14:textId="77777777" w:rsidR="0053245F" w:rsidRPr="0053245F" w:rsidRDefault="0053245F" w:rsidP="0053245F">
      <w:pPr>
        <w:numPr>
          <w:ilvl w:val="0"/>
          <w:numId w:val="18"/>
        </w:numPr>
      </w:pPr>
      <w:r w:rsidRPr="0053245F">
        <w:t>Tratado de la Unión Europea (TUE)</w:t>
      </w:r>
    </w:p>
    <w:p w14:paraId="50DF0F5E" w14:textId="77777777" w:rsidR="0053245F" w:rsidRPr="0053245F" w:rsidRDefault="0053245F" w:rsidP="0053245F">
      <w:pPr>
        <w:numPr>
          <w:ilvl w:val="0"/>
          <w:numId w:val="18"/>
        </w:numPr>
      </w:pPr>
      <w:r w:rsidRPr="0053245F">
        <w:t>Tratado de Funcionamiento de la Unión Europea (TFUE)</w:t>
      </w:r>
    </w:p>
    <w:p w14:paraId="185D70A1" w14:textId="7B3C92B2" w:rsidR="0053245F" w:rsidRPr="0053245F" w:rsidRDefault="0053245F" w:rsidP="0053245F">
      <w:pPr>
        <w:numPr>
          <w:ilvl w:val="0"/>
          <w:numId w:val="18"/>
        </w:numPr>
      </w:pPr>
      <w:r w:rsidRPr="0053245F">
        <w:t>Carta de los Derechos Fundamentales de la UE (</w:t>
      </w:r>
      <w:r w:rsidR="008B3292">
        <w:t>artículo</w:t>
      </w:r>
      <w:r w:rsidRPr="0053245F">
        <w:t xml:space="preserve"> 6.1 TUE)</w:t>
      </w:r>
    </w:p>
    <w:p w14:paraId="53B67E0B" w14:textId="77777777" w:rsidR="0053245F" w:rsidRPr="0053245F" w:rsidRDefault="0053245F" w:rsidP="0053245F">
      <w:pPr>
        <w:numPr>
          <w:ilvl w:val="0"/>
          <w:numId w:val="18"/>
        </w:numPr>
      </w:pPr>
      <w:r w:rsidRPr="0053245F">
        <w:t>Tratados modificativos</w:t>
      </w:r>
    </w:p>
    <w:p w14:paraId="1B0E569F" w14:textId="77777777" w:rsidR="0053245F" w:rsidRPr="0053245F" w:rsidRDefault="0053245F" w:rsidP="0053245F">
      <w:pPr>
        <w:numPr>
          <w:ilvl w:val="0"/>
          <w:numId w:val="18"/>
        </w:numPr>
      </w:pPr>
      <w:r w:rsidRPr="0053245F">
        <w:t>Actas de adhesión de nuevos Estados</w:t>
      </w:r>
    </w:p>
    <w:p w14:paraId="101DD773" w14:textId="77777777" w:rsidR="0053245F" w:rsidRPr="0053245F" w:rsidRDefault="0053245F" w:rsidP="0053245F">
      <w:pPr>
        <w:numPr>
          <w:ilvl w:val="0"/>
          <w:numId w:val="18"/>
        </w:numPr>
      </w:pPr>
      <w:r w:rsidRPr="0053245F">
        <w:t>Protocolos y declaraciones anexos</w:t>
      </w:r>
    </w:p>
    <w:p w14:paraId="63DF0767" w14:textId="0D8B6BDF" w:rsidR="0053245F" w:rsidRPr="0053245F" w:rsidRDefault="0053245F" w:rsidP="0053245F">
      <w:pPr>
        <w:rPr>
          <w:b/>
          <w:bCs/>
        </w:rPr>
      </w:pPr>
      <w:r w:rsidRPr="0053245F">
        <w:rPr>
          <w:b/>
          <w:bCs/>
        </w:rPr>
        <w:t>B) El Tratado de la Unión Europea (TUE)</w:t>
      </w:r>
      <w:r>
        <w:rPr>
          <w:b/>
          <w:bCs/>
        </w:rPr>
        <w:t>.</w:t>
      </w:r>
    </w:p>
    <w:p w14:paraId="7E2BF632" w14:textId="77777777" w:rsidR="0053245F" w:rsidRPr="0053245F" w:rsidRDefault="0053245F" w:rsidP="0053245F">
      <w:r w:rsidRPr="0053245F">
        <w:t>Establece principios y objetivos fundamentales:</w:t>
      </w:r>
    </w:p>
    <w:p w14:paraId="7790DF10" w14:textId="4219AF9C" w:rsidR="0053245F" w:rsidRPr="0053245F" w:rsidRDefault="008B3292" w:rsidP="0053245F">
      <w:pPr>
        <w:numPr>
          <w:ilvl w:val="0"/>
          <w:numId w:val="19"/>
        </w:numPr>
      </w:pPr>
      <w:r>
        <w:rPr>
          <w:b/>
          <w:bCs/>
        </w:rPr>
        <w:t>Artículo</w:t>
      </w:r>
      <w:r w:rsidR="0053245F" w:rsidRPr="0053245F">
        <w:rPr>
          <w:b/>
          <w:bCs/>
        </w:rPr>
        <w:t xml:space="preserve"> 1 TUE</w:t>
      </w:r>
      <w:r w:rsidR="0053245F" w:rsidRPr="0053245F">
        <w:t>: Nueva etapa en la integración europea.</w:t>
      </w:r>
    </w:p>
    <w:p w14:paraId="0BCA4F3E" w14:textId="43462327" w:rsidR="0053245F" w:rsidRPr="0053245F" w:rsidRDefault="008B3292" w:rsidP="0053245F">
      <w:pPr>
        <w:numPr>
          <w:ilvl w:val="0"/>
          <w:numId w:val="19"/>
        </w:numPr>
      </w:pPr>
      <w:r>
        <w:rPr>
          <w:b/>
          <w:bCs/>
        </w:rPr>
        <w:t>Artículo</w:t>
      </w:r>
      <w:r w:rsidR="0053245F" w:rsidRPr="0053245F">
        <w:rPr>
          <w:b/>
          <w:bCs/>
        </w:rPr>
        <w:t xml:space="preserve"> 2 TUE</w:t>
      </w:r>
      <w:r w:rsidR="0053245F" w:rsidRPr="0053245F">
        <w:t>: Valores de dignidad, libertad, democracia, igualdad, Estado de Derecho y derechos humanos.</w:t>
      </w:r>
    </w:p>
    <w:p w14:paraId="6B4EBCB0" w14:textId="6E320323" w:rsidR="0053245F" w:rsidRPr="0053245F" w:rsidRDefault="008B3292" w:rsidP="0053245F">
      <w:pPr>
        <w:numPr>
          <w:ilvl w:val="0"/>
          <w:numId w:val="19"/>
        </w:numPr>
      </w:pPr>
      <w:r>
        <w:rPr>
          <w:b/>
          <w:bCs/>
        </w:rPr>
        <w:t>Artículo</w:t>
      </w:r>
      <w:r w:rsidR="0053245F" w:rsidRPr="0053245F">
        <w:rPr>
          <w:b/>
          <w:bCs/>
        </w:rPr>
        <w:t xml:space="preserve"> 3 TUE</w:t>
      </w:r>
      <w:r w:rsidR="0053245F" w:rsidRPr="0053245F">
        <w:t>: Objetivos: paz, bienestar, mercado interior, sostenibilidad.</w:t>
      </w:r>
    </w:p>
    <w:p w14:paraId="46A98A7F" w14:textId="5332791E" w:rsidR="0053245F" w:rsidRPr="0053245F" w:rsidRDefault="008B3292" w:rsidP="0053245F">
      <w:pPr>
        <w:numPr>
          <w:ilvl w:val="0"/>
          <w:numId w:val="19"/>
        </w:numPr>
      </w:pPr>
      <w:r>
        <w:rPr>
          <w:b/>
          <w:bCs/>
        </w:rPr>
        <w:t>Artículo</w:t>
      </w:r>
      <w:r w:rsidR="0053245F" w:rsidRPr="0053245F">
        <w:rPr>
          <w:b/>
          <w:bCs/>
        </w:rPr>
        <w:t xml:space="preserve"> 5 TUE</w:t>
      </w:r>
      <w:r w:rsidR="0053245F" w:rsidRPr="0053245F">
        <w:t>: Principios de atribución, subsidiariedad y proporcionalidad.</w:t>
      </w:r>
    </w:p>
    <w:p w14:paraId="71330CF7" w14:textId="38B5F446" w:rsidR="0053245F" w:rsidRPr="0053245F" w:rsidRDefault="0053245F" w:rsidP="0053245F">
      <w:pPr>
        <w:rPr>
          <w:b/>
          <w:bCs/>
        </w:rPr>
      </w:pPr>
      <w:r w:rsidRPr="0053245F">
        <w:rPr>
          <w:b/>
          <w:bCs/>
        </w:rPr>
        <w:lastRenderedPageBreak/>
        <w:t>C) El Tratado de Funcionamiento de la UE (TFUE)</w:t>
      </w:r>
      <w:r>
        <w:rPr>
          <w:b/>
          <w:bCs/>
        </w:rPr>
        <w:t>.</w:t>
      </w:r>
    </w:p>
    <w:p w14:paraId="4E854FF9" w14:textId="77777777" w:rsidR="0053245F" w:rsidRPr="0053245F" w:rsidRDefault="0053245F" w:rsidP="0053245F">
      <w:r w:rsidRPr="0053245F">
        <w:t>Desarrolla el marco institucional y competencial:</w:t>
      </w:r>
    </w:p>
    <w:p w14:paraId="6B59E131" w14:textId="7B55149D" w:rsidR="0053245F" w:rsidRPr="0053245F" w:rsidRDefault="008B3292" w:rsidP="008B3292">
      <w:r>
        <w:rPr>
          <w:b/>
          <w:bCs/>
        </w:rPr>
        <w:t>- Artículo</w:t>
      </w:r>
      <w:r w:rsidR="0053245F" w:rsidRPr="0053245F">
        <w:rPr>
          <w:b/>
          <w:bCs/>
        </w:rPr>
        <w:t xml:space="preserve"> 1 TFUE</w:t>
      </w:r>
      <w:r w:rsidR="0053245F" w:rsidRPr="0053245F">
        <w:t>: Organización y competencias de la UE.</w:t>
      </w:r>
    </w:p>
    <w:p w14:paraId="7220F78E" w14:textId="7371A64A" w:rsidR="0053245F" w:rsidRPr="0053245F" w:rsidRDefault="008B3292" w:rsidP="008B3292">
      <w:r>
        <w:rPr>
          <w:b/>
          <w:bCs/>
        </w:rPr>
        <w:t xml:space="preserve">- </w:t>
      </w:r>
      <w:r w:rsidR="0053245F" w:rsidRPr="0053245F">
        <w:rPr>
          <w:b/>
          <w:bCs/>
        </w:rPr>
        <w:t>Arts. 3 a 6 TFUE</w:t>
      </w:r>
      <w:r w:rsidR="0053245F" w:rsidRPr="0053245F">
        <w:t>: Clasificación de competencias:</w:t>
      </w:r>
    </w:p>
    <w:p w14:paraId="75C5EC02" w14:textId="77777777" w:rsidR="0053245F" w:rsidRPr="0053245F" w:rsidRDefault="0053245F" w:rsidP="0053245F">
      <w:pPr>
        <w:numPr>
          <w:ilvl w:val="1"/>
          <w:numId w:val="20"/>
        </w:numPr>
      </w:pPr>
      <w:r w:rsidRPr="0053245F">
        <w:rPr>
          <w:b/>
          <w:bCs/>
        </w:rPr>
        <w:t>Exclusivas</w:t>
      </w:r>
      <w:r w:rsidRPr="0053245F">
        <w:t xml:space="preserve"> (comercio, aduanas, competencia)</w:t>
      </w:r>
    </w:p>
    <w:p w14:paraId="44FBF872" w14:textId="77777777" w:rsidR="0053245F" w:rsidRPr="0053245F" w:rsidRDefault="0053245F" w:rsidP="0053245F">
      <w:pPr>
        <w:numPr>
          <w:ilvl w:val="1"/>
          <w:numId w:val="20"/>
        </w:numPr>
      </w:pPr>
      <w:r w:rsidRPr="0053245F">
        <w:rPr>
          <w:b/>
          <w:bCs/>
        </w:rPr>
        <w:t>Compartidas</w:t>
      </w:r>
      <w:r w:rsidRPr="0053245F">
        <w:t xml:space="preserve"> (medio ambiente, transporte)</w:t>
      </w:r>
    </w:p>
    <w:p w14:paraId="117700AA" w14:textId="77777777" w:rsidR="0053245F" w:rsidRPr="0053245F" w:rsidRDefault="0053245F" w:rsidP="0053245F">
      <w:pPr>
        <w:numPr>
          <w:ilvl w:val="1"/>
          <w:numId w:val="20"/>
        </w:numPr>
      </w:pPr>
      <w:r w:rsidRPr="0053245F">
        <w:rPr>
          <w:b/>
          <w:bCs/>
        </w:rPr>
        <w:t>De apoyo</w:t>
      </w:r>
      <w:r w:rsidRPr="0053245F">
        <w:t xml:space="preserve"> (educación, sanidad)</w:t>
      </w:r>
    </w:p>
    <w:p w14:paraId="32EED588" w14:textId="54214E1A" w:rsidR="0053245F" w:rsidRPr="0053245F" w:rsidRDefault="0053245F" w:rsidP="0053245F">
      <w:pPr>
        <w:pStyle w:val="Ttulo2"/>
      </w:pPr>
      <w:bookmarkStart w:id="12" w:name="_Toc195604680"/>
      <w:r>
        <w:t>4</w:t>
      </w:r>
      <w:r w:rsidRPr="0053245F">
        <w:t>.2. Derecho derivado</w:t>
      </w:r>
      <w:r>
        <w:t>.</w:t>
      </w:r>
      <w:bookmarkEnd w:id="12"/>
    </w:p>
    <w:p w14:paraId="0F829608" w14:textId="77777777" w:rsidR="0053245F" w:rsidRPr="0053245F" w:rsidRDefault="0053245F" w:rsidP="0053245F">
      <w:r w:rsidRPr="0053245F">
        <w:t xml:space="preserve">El Derecho derivado lo conforman los </w:t>
      </w:r>
      <w:r w:rsidRPr="0053245F">
        <w:rPr>
          <w:b/>
          <w:bCs/>
        </w:rPr>
        <w:t>actos jurídicos</w:t>
      </w:r>
      <w:r w:rsidRPr="0053245F">
        <w:t xml:space="preserve"> adoptados por las instituciones para aplicar el Derecho originario.</w:t>
      </w:r>
    </w:p>
    <w:p w14:paraId="1FC2594B" w14:textId="6ECB99C8" w:rsidR="0053245F" w:rsidRPr="0053245F" w:rsidRDefault="0053245F" w:rsidP="0053245F">
      <w:pPr>
        <w:rPr>
          <w:b/>
          <w:bCs/>
        </w:rPr>
      </w:pPr>
      <w:r w:rsidRPr="0053245F">
        <w:rPr>
          <w:b/>
          <w:bCs/>
        </w:rPr>
        <w:t>A) Tipos (</w:t>
      </w:r>
      <w:r w:rsidR="008B3292">
        <w:rPr>
          <w:b/>
          <w:bCs/>
        </w:rPr>
        <w:t>artículo</w:t>
      </w:r>
      <w:r w:rsidRPr="0053245F">
        <w:rPr>
          <w:b/>
          <w:bCs/>
        </w:rPr>
        <w:t xml:space="preserve"> 288 TFUE)</w:t>
      </w:r>
      <w:r>
        <w:rPr>
          <w:b/>
          <w:bCs/>
        </w:rPr>
        <w:t>.</w:t>
      </w:r>
    </w:p>
    <w:p w14:paraId="7DE86869" w14:textId="77777777" w:rsidR="0053245F" w:rsidRPr="0053245F" w:rsidRDefault="0053245F" w:rsidP="0053245F">
      <w:r w:rsidRPr="0053245F">
        <w:t>“Para ejercer las competencias de la Unión, las instituciones adoptarán reglamentos, directivas, decisiones, recomendaciones y dictámenes.”</w:t>
      </w:r>
    </w:p>
    <w:p w14:paraId="57FA8000" w14:textId="500BD418" w:rsidR="0053245F" w:rsidRPr="0053245F" w:rsidRDefault="0053245F" w:rsidP="0053245F">
      <w:pPr>
        <w:rPr>
          <w:b/>
          <w:bCs/>
        </w:rPr>
      </w:pPr>
      <w:r w:rsidRPr="0053245F">
        <w:rPr>
          <w:b/>
          <w:bCs/>
        </w:rPr>
        <w:t>1. Reglamento</w:t>
      </w:r>
      <w:r>
        <w:rPr>
          <w:b/>
          <w:bCs/>
        </w:rPr>
        <w:t>.</w:t>
      </w:r>
    </w:p>
    <w:p w14:paraId="400D6394" w14:textId="77777777" w:rsidR="0053245F" w:rsidRPr="0053245F" w:rsidRDefault="0053245F" w:rsidP="0053245F">
      <w:pPr>
        <w:numPr>
          <w:ilvl w:val="0"/>
          <w:numId w:val="21"/>
        </w:numPr>
      </w:pPr>
      <w:r w:rsidRPr="0053245F">
        <w:t>Aplicación general.</w:t>
      </w:r>
    </w:p>
    <w:p w14:paraId="5CB20DF7" w14:textId="77777777" w:rsidR="0053245F" w:rsidRPr="0053245F" w:rsidRDefault="0053245F" w:rsidP="0053245F">
      <w:pPr>
        <w:numPr>
          <w:ilvl w:val="0"/>
          <w:numId w:val="21"/>
        </w:numPr>
      </w:pPr>
      <w:r w:rsidRPr="0053245F">
        <w:t>Obligatorio en todos sus elementos.</w:t>
      </w:r>
    </w:p>
    <w:p w14:paraId="35CE9778" w14:textId="77777777" w:rsidR="0053245F" w:rsidRPr="0053245F" w:rsidRDefault="0053245F" w:rsidP="0053245F">
      <w:pPr>
        <w:numPr>
          <w:ilvl w:val="0"/>
          <w:numId w:val="21"/>
        </w:numPr>
      </w:pPr>
      <w:r w:rsidRPr="0053245F">
        <w:t>Directamente aplicable (sin transposición).</w:t>
      </w:r>
    </w:p>
    <w:p w14:paraId="5195AF29" w14:textId="77777777" w:rsidR="0053245F" w:rsidRPr="0053245F" w:rsidRDefault="0053245F" w:rsidP="0053245F">
      <w:r w:rsidRPr="0053245F">
        <w:rPr>
          <w:rFonts w:ascii="Segoe UI Emoji" w:hAnsi="Segoe UI Emoji" w:cs="Segoe UI Emoji"/>
        </w:rPr>
        <w:t>📌</w:t>
      </w:r>
      <w:r w:rsidRPr="0053245F">
        <w:t xml:space="preserve"> Literal:</w:t>
      </w:r>
    </w:p>
    <w:p w14:paraId="766D8631" w14:textId="4F5023E8" w:rsidR="0053245F" w:rsidRPr="0053245F" w:rsidRDefault="0053245F" w:rsidP="0053245F">
      <w:r w:rsidRPr="0053245F">
        <w:t>“El reglamento tendrá alcance general. Será obligatorio en todos sus elementos y directamente aplicable en cada Estado miembro.” (</w:t>
      </w:r>
      <w:r w:rsidR="008B3292">
        <w:t>artículo</w:t>
      </w:r>
      <w:r w:rsidRPr="0053245F">
        <w:t xml:space="preserve"> 288.2 TFUE)</w:t>
      </w:r>
    </w:p>
    <w:p w14:paraId="62C1FEE2" w14:textId="70D4744F" w:rsidR="0053245F" w:rsidRPr="0053245F" w:rsidRDefault="0053245F" w:rsidP="0053245F">
      <w:pPr>
        <w:rPr>
          <w:b/>
          <w:bCs/>
        </w:rPr>
      </w:pPr>
      <w:r w:rsidRPr="0053245F">
        <w:rPr>
          <w:b/>
          <w:bCs/>
        </w:rPr>
        <w:t>2. Directiva</w:t>
      </w:r>
      <w:r>
        <w:rPr>
          <w:b/>
          <w:bCs/>
        </w:rPr>
        <w:t>.</w:t>
      </w:r>
    </w:p>
    <w:p w14:paraId="475C1252" w14:textId="77777777" w:rsidR="0053245F" w:rsidRPr="0053245F" w:rsidRDefault="0053245F" w:rsidP="0053245F">
      <w:pPr>
        <w:numPr>
          <w:ilvl w:val="0"/>
          <w:numId w:val="22"/>
        </w:numPr>
      </w:pPr>
      <w:r w:rsidRPr="0053245F">
        <w:t>Vincula al Estado respecto al resultado.</w:t>
      </w:r>
    </w:p>
    <w:p w14:paraId="3237B50C" w14:textId="77777777" w:rsidR="0053245F" w:rsidRPr="0053245F" w:rsidRDefault="0053245F" w:rsidP="0053245F">
      <w:pPr>
        <w:numPr>
          <w:ilvl w:val="0"/>
          <w:numId w:val="22"/>
        </w:numPr>
      </w:pPr>
      <w:r w:rsidRPr="0053245F">
        <w:t>Deja libertad en la forma y medios.</w:t>
      </w:r>
    </w:p>
    <w:p w14:paraId="1E295E5C" w14:textId="77777777" w:rsidR="0053245F" w:rsidRPr="0053245F" w:rsidRDefault="0053245F" w:rsidP="0053245F">
      <w:pPr>
        <w:numPr>
          <w:ilvl w:val="0"/>
          <w:numId w:val="22"/>
        </w:numPr>
      </w:pPr>
      <w:r w:rsidRPr="0053245F">
        <w:t>Requiere transposición al Derecho nacional.</w:t>
      </w:r>
    </w:p>
    <w:p w14:paraId="3415B076" w14:textId="77777777" w:rsidR="0053245F" w:rsidRPr="0053245F" w:rsidRDefault="0053245F" w:rsidP="0053245F">
      <w:r w:rsidRPr="0053245F">
        <w:rPr>
          <w:rFonts w:ascii="Segoe UI Emoji" w:hAnsi="Segoe UI Emoji" w:cs="Segoe UI Emoji"/>
        </w:rPr>
        <w:t>📌</w:t>
      </w:r>
      <w:r w:rsidRPr="0053245F">
        <w:t xml:space="preserve"> Literal:</w:t>
      </w:r>
    </w:p>
    <w:p w14:paraId="3F1F6BD2" w14:textId="1B68E2DB" w:rsidR="0053245F" w:rsidRPr="0053245F" w:rsidRDefault="0053245F" w:rsidP="0053245F">
      <w:r w:rsidRPr="0053245F">
        <w:t>“La directiva obligará al Estado miembro destinatario en cuanto al resultado que deba conseguirse, dejando a las autoridades nacionales la elección de la forma y de los medios.” (</w:t>
      </w:r>
      <w:r w:rsidR="008B3292">
        <w:t>artículo</w:t>
      </w:r>
      <w:r w:rsidRPr="0053245F">
        <w:t xml:space="preserve"> 288.3 TFUE)</w:t>
      </w:r>
    </w:p>
    <w:p w14:paraId="33781FAC" w14:textId="217EE181" w:rsidR="0053245F" w:rsidRPr="0053245F" w:rsidRDefault="0053245F" w:rsidP="0053245F">
      <w:pPr>
        <w:rPr>
          <w:b/>
          <w:bCs/>
        </w:rPr>
      </w:pPr>
      <w:r w:rsidRPr="0053245F">
        <w:rPr>
          <w:b/>
          <w:bCs/>
        </w:rPr>
        <w:t>3. Decisión</w:t>
      </w:r>
      <w:r>
        <w:rPr>
          <w:b/>
          <w:bCs/>
        </w:rPr>
        <w:t>.</w:t>
      </w:r>
    </w:p>
    <w:p w14:paraId="2263CECC" w14:textId="77777777" w:rsidR="0053245F" w:rsidRPr="0053245F" w:rsidRDefault="0053245F" w:rsidP="0053245F">
      <w:pPr>
        <w:numPr>
          <w:ilvl w:val="0"/>
          <w:numId w:val="23"/>
        </w:numPr>
      </w:pPr>
      <w:r w:rsidRPr="0053245F">
        <w:t>Obligatoria en todos sus elementos.</w:t>
      </w:r>
    </w:p>
    <w:p w14:paraId="6A011C42" w14:textId="77777777" w:rsidR="0053245F" w:rsidRPr="0053245F" w:rsidRDefault="0053245F" w:rsidP="0053245F">
      <w:pPr>
        <w:numPr>
          <w:ilvl w:val="0"/>
          <w:numId w:val="23"/>
        </w:numPr>
      </w:pPr>
      <w:r w:rsidRPr="0053245F">
        <w:lastRenderedPageBreak/>
        <w:t>Solo obliga a los destinatarios si están designados expresamente.</w:t>
      </w:r>
    </w:p>
    <w:p w14:paraId="47A5FA00" w14:textId="77777777" w:rsidR="0053245F" w:rsidRPr="0053245F" w:rsidRDefault="0053245F" w:rsidP="0053245F">
      <w:r w:rsidRPr="0053245F">
        <w:rPr>
          <w:rFonts w:ascii="Segoe UI Emoji" w:hAnsi="Segoe UI Emoji" w:cs="Segoe UI Emoji"/>
        </w:rPr>
        <w:t>📌</w:t>
      </w:r>
      <w:r w:rsidRPr="0053245F">
        <w:t xml:space="preserve"> Literal:</w:t>
      </w:r>
    </w:p>
    <w:p w14:paraId="4574ACAA" w14:textId="51492E41" w:rsidR="0053245F" w:rsidRPr="0053245F" w:rsidRDefault="0053245F" w:rsidP="0053245F">
      <w:r w:rsidRPr="0053245F">
        <w:t>“La decisión será obligatoria en todos sus elementos. Cuando designe destinatarios, solo será obligatoria para éstos.” (</w:t>
      </w:r>
      <w:r w:rsidR="008B3292">
        <w:t>artículo</w:t>
      </w:r>
      <w:r w:rsidRPr="0053245F">
        <w:t xml:space="preserve"> 288.4 TFUE)</w:t>
      </w:r>
    </w:p>
    <w:p w14:paraId="2810C75B" w14:textId="1B9DCD6F" w:rsidR="0053245F" w:rsidRPr="0053245F" w:rsidRDefault="0053245F" w:rsidP="0053245F">
      <w:pPr>
        <w:rPr>
          <w:b/>
          <w:bCs/>
        </w:rPr>
      </w:pPr>
      <w:r w:rsidRPr="0053245F">
        <w:rPr>
          <w:b/>
          <w:bCs/>
        </w:rPr>
        <w:t>4. Recomendaciones y dictámenes</w:t>
      </w:r>
      <w:r>
        <w:rPr>
          <w:b/>
          <w:bCs/>
        </w:rPr>
        <w:t>.</w:t>
      </w:r>
    </w:p>
    <w:p w14:paraId="26BCC07B" w14:textId="77777777" w:rsidR="0053245F" w:rsidRPr="0053245F" w:rsidRDefault="0053245F" w:rsidP="0053245F">
      <w:pPr>
        <w:numPr>
          <w:ilvl w:val="0"/>
          <w:numId w:val="24"/>
        </w:numPr>
      </w:pPr>
      <w:r w:rsidRPr="0053245F">
        <w:t>No tienen carácter vinculante.</w:t>
      </w:r>
    </w:p>
    <w:p w14:paraId="32310108" w14:textId="77777777" w:rsidR="0053245F" w:rsidRPr="0053245F" w:rsidRDefault="0053245F" w:rsidP="0053245F">
      <w:r w:rsidRPr="0053245F">
        <w:rPr>
          <w:rFonts w:ascii="Segoe UI Emoji" w:hAnsi="Segoe UI Emoji" w:cs="Segoe UI Emoji"/>
        </w:rPr>
        <w:t>📌</w:t>
      </w:r>
      <w:r w:rsidRPr="0053245F">
        <w:t xml:space="preserve"> Literal:</w:t>
      </w:r>
    </w:p>
    <w:p w14:paraId="1D015B49" w14:textId="7C022073" w:rsidR="0053245F" w:rsidRPr="0053245F" w:rsidRDefault="0053245F" w:rsidP="0053245F">
      <w:r w:rsidRPr="0053245F">
        <w:t>“Las recomendaciones y los dictámenes no tendrán carácter vinculante.” (</w:t>
      </w:r>
      <w:r w:rsidR="008B3292">
        <w:t>artículo</w:t>
      </w:r>
      <w:r w:rsidRPr="0053245F">
        <w:t xml:space="preserve"> 288.5 TFUE)</w:t>
      </w:r>
    </w:p>
    <w:p w14:paraId="5817CF04" w14:textId="0FDEDE50" w:rsidR="0053245F" w:rsidRPr="0053245F" w:rsidRDefault="0053245F" w:rsidP="0053245F">
      <w:pPr>
        <w:rPr>
          <w:b/>
          <w:bCs/>
        </w:rPr>
      </w:pPr>
      <w:r w:rsidRPr="0053245F">
        <w:rPr>
          <w:b/>
          <w:bCs/>
        </w:rPr>
        <w:t>B) Otros actos jurídicos</w:t>
      </w:r>
      <w:r>
        <w:rPr>
          <w:b/>
          <w:bCs/>
        </w:rPr>
        <w:t>.</w:t>
      </w:r>
    </w:p>
    <w:p w14:paraId="246DC1F1" w14:textId="420FB45C" w:rsidR="0053245F" w:rsidRPr="0053245F" w:rsidRDefault="0053245F" w:rsidP="0053245F">
      <w:pPr>
        <w:numPr>
          <w:ilvl w:val="0"/>
          <w:numId w:val="25"/>
        </w:numPr>
      </w:pPr>
      <w:r w:rsidRPr="0053245F">
        <w:rPr>
          <w:b/>
          <w:bCs/>
        </w:rPr>
        <w:t>Actos delegados</w:t>
      </w:r>
      <w:r w:rsidRPr="0053245F">
        <w:t xml:space="preserve"> (</w:t>
      </w:r>
      <w:r w:rsidR="008B3292">
        <w:t>artículo</w:t>
      </w:r>
      <w:r w:rsidRPr="0053245F">
        <w:t xml:space="preserve"> 290 TFUE): permiten a la Comisión completar o modificar normas no esenciales.</w:t>
      </w:r>
    </w:p>
    <w:p w14:paraId="21B60D33" w14:textId="2B761845" w:rsidR="0053245F" w:rsidRPr="0053245F" w:rsidRDefault="0053245F" w:rsidP="0053245F">
      <w:pPr>
        <w:numPr>
          <w:ilvl w:val="0"/>
          <w:numId w:val="25"/>
        </w:numPr>
      </w:pPr>
      <w:r w:rsidRPr="0053245F">
        <w:rPr>
          <w:b/>
          <w:bCs/>
        </w:rPr>
        <w:t>Actos de ejecución</w:t>
      </w:r>
      <w:r w:rsidRPr="0053245F">
        <w:t xml:space="preserve"> (</w:t>
      </w:r>
      <w:r w:rsidR="008B3292">
        <w:t>artículo</w:t>
      </w:r>
      <w:r w:rsidRPr="0053245F">
        <w:t xml:space="preserve"> 291 TFUE): aseguran aplicación uniforme en toda la UE.</w:t>
      </w:r>
    </w:p>
    <w:p w14:paraId="60251E6A" w14:textId="05656067" w:rsidR="0053245F" w:rsidRPr="0053245F" w:rsidRDefault="0053245F" w:rsidP="0053245F">
      <w:pPr>
        <w:pStyle w:val="Ttulo2"/>
      </w:pPr>
      <w:bookmarkStart w:id="13" w:name="_Toc195604681"/>
      <w:r>
        <w:t>4</w:t>
      </w:r>
      <w:r w:rsidRPr="0053245F">
        <w:t>.3. Principios generales del Derecho de la UE</w:t>
      </w:r>
      <w:r>
        <w:t>.</w:t>
      </w:r>
      <w:bookmarkEnd w:id="13"/>
    </w:p>
    <w:p w14:paraId="0B0CADE4" w14:textId="77777777" w:rsidR="0053245F" w:rsidRPr="0053245F" w:rsidRDefault="0053245F" w:rsidP="0053245F">
      <w:r w:rsidRPr="0053245F">
        <w:t xml:space="preserve">Además del Derecho originario y el derivado, el ordenamiento jurídico de la Unión Europea se fundamenta en una serie de </w:t>
      </w:r>
      <w:r w:rsidRPr="0053245F">
        <w:rPr>
          <w:b/>
          <w:bCs/>
        </w:rPr>
        <w:t>principios generales</w:t>
      </w:r>
      <w:r w:rsidRPr="0053245F">
        <w:t>, reconocidos por la jurisprudencia del Tribunal de Justicia de la Unión Europea (TJUE) y aplicables tanto a las instituciones comunitarias como a los Estados miembros.</w:t>
      </w:r>
    </w:p>
    <w:p w14:paraId="0077AE18" w14:textId="77777777" w:rsidR="0053245F" w:rsidRPr="0053245F" w:rsidRDefault="0053245F" w:rsidP="0053245F">
      <w:r w:rsidRPr="0053245F">
        <w:t>Entre los más relevantes destacan:</w:t>
      </w:r>
    </w:p>
    <w:p w14:paraId="0A5E6CEB" w14:textId="1D30036C" w:rsidR="0053245F" w:rsidRPr="0053245F" w:rsidRDefault="0053245F" w:rsidP="0053245F">
      <w:pPr>
        <w:numPr>
          <w:ilvl w:val="0"/>
          <w:numId w:val="26"/>
        </w:numPr>
      </w:pPr>
      <w:r w:rsidRPr="0053245F">
        <w:rPr>
          <w:b/>
          <w:bCs/>
        </w:rPr>
        <w:t>Principio de legalidad</w:t>
      </w:r>
      <w:r>
        <w:rPr>
          <w:b/>
          <w:bCs/>
        </w:rPr>
        <w:t>.</w:t>
      </w:r>
    </w:p>
    <w:p w14:paraId="63852E90" w14:textId="55FFFBF5" w:rsidR="0053245F" w:rsidRPr="0053245F" w:rsidRDefault="0053245F" w:rsidP="0053245F">
      <w:pPr>
        <w:numPr>
          <w:ilvl w:val="0"/>
          <w:numId w:val="26"/>
        </w:numPr>
      </w:pPr>
      <w:r w:rsidRPr="0053245F">
        <w:rPr>
          <w:b/>
          <w:bCs/>
        </w:rPr>
        <w:t>Principio de seguridad jurídica</w:t>
      </w:r>
      <w:r>
        <w:rPr>
          <w:b/>
          <w:bCs/>
        </w:rPr>
        <w:t>.</w:t>
      </w:r>
    </w:p>
    <w:p w14:paraId="075842B0" w14:textId="5871C8E8" w:rsidR="0053245F" w:rsidRPr="0053245F" w:rsidRDefault="0053245F" w:rsidP="0053245F">
      <w:pPr>
        <w:numPr>
          <w:ilvl w:val="0"/>
          <w:numId w:val="26"/>
        </w:numPr>
      </w:pPr>
      <w:r w:rsidRPr="0053245F">
        <w:rPr>
          <w:b/>
          <w:bCs/>
        </w:rPr>
        <w:t>Principio de confianza legítima</w:t>
      </w:r>
      <w:r>
        <w:rPr>
          <w:b/>
          <w:bCs/>
        </w:rPr>
        <w:t>.</w:t>
      </w:r>
    </w:p>
    <w:p w14:paraId="6003192D" w14:textId="2035637F" w:rsidR="0053245F" w:rsidRPr="0053245F" w:rsidRDefault="0053245F" w:rsidP="0053245F">
      <w:pPr>
        <w:numPr>
          <w:ilvl w:val="0"/>
          <w:numId w:val="26"/>
        </w:numPr>
      </w:pPr>
      <w:r w:rsidRPr="0053245F">
        <w:rPr>
          <w:b/>
          <w:bCs/>
        </w:rPr>
        <w:t>Principio de proporcionalidad</w:t>
      </w:r>
      <w:r>
        <w:rPr>
          <w:b/>
          <w:bCs/>
        </w:rPr>
        <w:t>.</w:t>
      </w:r>
    </w:p>
    <w:p w14:paraId="71E9B8DF" w14:textId="3B36B23D" w:rsidR="0053245F" w:rsidRPr="0053245F" w:rsidRDefault="0053245F" w:rsidP="0053245F">
      <w:pPr>
        <w:numPr>
          <w:ilvl w:val="0"/>
          <w:numId w:val="26"/>
        </w:numPr>
      </w:pPr>
      <w:r w:rsidRPr="0053245F">
        <w:rPr>
          <w:b/>
          <w:bCs/>
        </w:rPr>
        <w:t>Principio de igualdad y no discriminación</w:t>
      </w:r>
      <w:r>
        <w:rPr>
          <w:b/>
          <w:bCs/>
        </w:rPr>
        <w:t>.</w:t>
      </w:r>
    </w:p>
    <w:p w14:paraId="2E6647F0" w14:textId="3C60A35B" w:rsidR="0053245F" w:rsidRPr="0053245F" w:rsidRDefault="0053245F" w:rsidP="0053245F">
      <w:pPr>
        <w:numPr>
          <w:ilvl w:val="0"/>
          <w:numId w:val="26"/>
        </w:numPr>
      </w:pPr>
      <w:r w:rsidRPr="0053245F">
        <w:rPr>
          <w:b/>
          <w:bCs/>
        </w:rPr>
        <w:t>Derecho a la tutela judicial efectiva</w:t>
      </w:r>
      <w:r>
        <w:rPr>
          <w:b/>
          <w:bCs/>
        </w:rPr>
        <w:t>.</w:t>
      </w:r>
    </w:p>
    <w:p w14:paraId="2021BCEA" w14:textId="3CB2CFA7" w:rsidR="0053245F" w:rsidRPr="0053245F" w:rsidRDefault="0053245F" w:rsidP="0053245F">
      <w:r w:rsidRPr="0053245F">
        <w:t>Estos principios permiten colmar lagunas normativas, guiar la interpretación del Derecho de la UE y garantizar la coherencia del ordenamiento jurídico.</w:t>
      </w:r>
    </w:p>
    <w:p w14:paraId="4959143B" w14:textId="5B91A4FA" w:rsidR="0053245F" w:rsidRPr="0053245F" w:rsidRDefault="0053245F" w:rsidP="0053245F">
      <w:pPr>
        <w:pStyle w:val="Ttulo1"/>
      </w:pPr>
      <w:bookmarkStart w:id="14" w:name="_Toc195604682"/>
      <w:r>
        <w:lastRenderedPageBreak/>
        <w:t>5</w:t>
      </w:r>
      <w:r w:rsidRPr="0053245F">
        <w:t>. P</w:t>
      </w:r>
      <w:r w:rsidR="0075536D" w:rsidRPr="0053245F">
        <w:t>rincipios de aplicación del derecho comunitario</w:t>
      </w:r>
      <w:r w:rsidR="0075536D">
        <w:t>.</w:t>
      </w:r>
      <w:bookmarkEnd w:id="14"/>
    </w:p>
    <w:p w14:paraId="7969F040" w14:textId="3DE9921D" w:rsidR="0053245F" w:rsidRPr="0053245F" w:rsidRDefault="0053245F" w:rsidP="0053245F">
      <w:pPr>
        <w:pStyle w:val="Ttulo2"/>
      </w:pPr>
      <w:bookmarkStart w:id="15" w:name="_Toc195604683"/>
      <w:r>
        <w:t>5</w:t>
      </w:r>
      <w:r w:rsidRPr="0053245F">
        <w:t>.1. Principio de primacía</w:t>
      </w:r>
      <w:r>
        <w:t>.</w:t>
      </w:r>
      <w:bookmarkEnd w:id="15"/>
    </w:p>
    <w:p w14:paraId="7032B8C4" w14:textId="77777777" w:rsidR="0053245F" w:rsidRPr="0053245F" w:rsidRDefault="0053245F" w:rsidP="0053245F">
      <w:r w:rsidRPr="0053245F">
        <w:t xml:space="preserve">Establece que el Derecho de la Unión </w:t>
      </w:r>
      <w:r w:rsidRPr="0053245F">
        <w:rPr>
          <w:b/>
          <w:bCs/>
        </w:rPr>
        <w:t>prevalece sobre cualquier norma nacional contraria</w:t>
      </w:r>
      <w:r w:rsidRPr="0053245F">
        <w:t xml:space="preserve">, ya sea anterior o posterior. Fue afirmado en la </w:t>
      </w:r>
      <w:r w:rsidRPr="0053245F">
        <w:rPr>
          <w:b/>
          <w:bCs/>
        </w:rPr>
        <w:t>Sentencia Costa vs. ENEL (1964)</w:t>
      </w:r>
      <w:r w:rsidRPr="0053245F">
        <w:t xml:space="preserve"> del TJUE.</w:t>
      </w:r>
    </w:p>
    <w:p w14:paraId="64E7183C" w14:textId="77777777" w:rsidR="0053245F" w:rsidRPr="0053245F" w:rsidRDefault="0053245F" w:rsidP="0053245F">
      <w:r w:rsidRPr="0053245F">
        <w:t>Las normas nacionales no pueden oponerse a la eficacia del Derecho de la UE.</w:t>
      </w:r>
    </w:p>
    <w:p w14:paraId="10999855" w14:textId="44232B92" w:rsidR="0053245F" w:rsidRPr="0053245F" w:rsidRDefault="0053245F" w:rsidP="0053245F">
      <w:pPr>
        <w:pStyle w:val="Ttulo2"/>
      </w:pPr>
      <w:bookmarkStart w:id="16" w:name="_Toc195604684"/>
      <w:r>
        <w:t>5</w:t>
      </w:r>
      <w:r w:rsidRPr="0053245F">
        <w:t>.2. Principio de efecto directo</w:t>
      </w:r>
      <w:r>
        <w:t>.</w:t>
      </w:r>
      <w:bookmarkEnd w:id="16"/>
    </w:p>
    <w:p w14:paraId="6F75A2E2" w14:textId="77777777" w:rsidR="0053245F" w:rsidRPr="0053245F" w:rsidRDefault="0053245F" w:rsidP="0053245F">
      <w:r w:rsidRPr="0053245F">
        <w:t xml:space="preserve">Implica que ciertas normas del Derecho comunitario </w:t>
      </w:r>
      <w:r w:rsidRPr="0053245F">
        <w:rPr>
          <w:b/>
          <w:bCs/>
        </w:rPr>
        <w:t>crean derechos y obligaciones directamente exigibles</w:t>
      </w:r>
      <w:r w:rsidRPr="0053245F">
        <w:t xml:space="preserve"> por los ciudadanos ante los tribunales nacionales.</w:t>
      </w:r>
    </w:p>
    <w:p w14:paraId="0EF6A62D" w14:textId="77777777" w:rsidR="0053245F" w:rsidRPr="0053245F" w:rsidRDefault="0053245F" w:rsidP="0053245F">
      <w:pPr>
        <w:numPr>
          <w:ilvl w:val="0"/>
          <w:numId w:val="27"/>
        </w:numPr>
      </w:pPr>
      <w:r w:rsidRPr="0053245F">
        <w:t xml:space="preserve">Sentencia </w:t>
      </w:r>
      <w:r w:rsidRPr="0053245F">
        <w:rPr>
          <w:b/>
          <w:bCs/>
        </w:rPr>
        <w:t>Van Gend en Loos (1963)</w:t>
      </w:r>
      <w:r w:rsidRPr="0053245F">
        <w:t>: primer reconocimiento del efecto directo de una disposición del Tratado.</w:t>
      </w:r>
    </w:p>
    <w:p w14:paraId="2751B962" w14:textId="7F713F8A" w:rsidR="0053245F" w:rsidRPr="0053245F" w:rsidRDefault="0053245F" w:rsidP="0053245F">
      <w:pPr>
        <w:pStyle w:val="Ttulo2"/>
      </w:pPr>
      <w:bookmarkStart w:id="17" w:name="_Toc195604685"/>
      <w:r>
        <w:t>5</w:t>
      </w:r>
      <w:r w:rsidRPr="0053245F">
        <w:t>.3. Aplicación directa</w:t>
      </w:r>
      <w:r>
        <w:t>.</w:t>
      </w:r>
      <w:bookmarkEnd w:id="17"/>
    </w:p>
    <w:p w14:paraId="41685DF2" w14:textId="2315F33B" w:rsidR="0053245F" w:rsidRPr="0053245F" w:rsidRDefault="0053245F" w:rsidP="0053245F">
      <w:r w:rsidRPr="0053245F">
        <w:t xml:space="preserve">Algunos actos jurídicos de la UE (como los </w:t>
      </w:r>
      <w:r w:rsidRPr="0053245F">
        <w:rPr>
          <w:b/>
          <w:bCs/>
        </w:rPr>
        <w:t>reglamentos</w:t>
      </w:r>
      <w:r w:rsidRPr="0053245F">
        <w:t xml:space="preserve">) no requieren transposición nacional para tener efectos jurídicos. Esto </w:t>
      </w:r>
      <w:r w:rsidRPr="0053245F">
        <w:rPr>
          <w:b/>
          <w:bCs/>
        </w:rPr>
        <w:t>refuerza su eficacia inmediata</w:t>
      </w:r>
      <w:r w:rsidRPr="0053245F">
        <w:t>.</w:t>
      </w:r>
    </w:p>
    <w:p w14:paraId="5BE8E148" w14:textId="13FBE8D8" w:rsidR="0053245F" w:rsidRPr="0053245F" w:rsidRDefault="0053245F" w:rsidP="0053245F">
      <w:pPr>
        <w:pStyle w:val="Ttulo1"/>
      </w:pPr>
      <w:bookmarkStart w:id="18" w:name="_Toc195604686"/>
      <w:r>
        <w:t>6</w:t>
      </w:r>
      <w:r w:rsidRPr="0053245F">
        <w:t>. R</w:t>
      </w:r>
      <w:r w:rsidR="0075536D" w:rsidRPr="0053245F">
        <w:t>ecepción del derecho comunitario en españa</w:t>
      </w:r>
      <w:r w:rsidR="0075536D">
        <w:t>.</w:t>
      </w:r>
      <w:bookmarkEnd w:id="18"/>
    </w:p>
    <w:p w14:paraId="1017753B" w14:textId="44C3136D" w:rsidR="0053245F" w:rsidRPr="0053245F" w:rsidRDefault="0053245F" w:rsidP="0053245F">
      <w:pPr>
        <w:pStyle w:val="Ttulo2"/>
      </w:pPr>
      <w:bookmarkStart w:id="19" w:name="_Toc195604687"/>
      <w:r>
        <w:t>6</w:t>
      </w:r>
      <w:r w:rsidRPr="0053245F">
        <w:t>.1. Constitución Española de 1978</w:t>
      </w:r>
      <w:r>
        <w:t>.</w:t>
      </w:r>
      <w:bookmarkEnd w:id="19"/>
    </w:p>
    <w:p w14:paraId="6EF90563" w14:textId="77777777" w:rsidR="0053245F" w:rsidRPr="0053245F" w:rsidRDefault="0053245F" w:rsidP="0053245F">
      <w:pPr>
        <w:numPr>
          <w:ilvl w:val="0"/>
          <w:numId w:val="28"/>
        </w:numPr>
      </w:pPr>
      <w:r w:rsidRPr="0053245F">
        <w:rPr>
          <w:b/>
          <w:bCs/>
        </w:rPr>
        <w:t>Artículo 93 CE</w:t>
      </w:r>
      <w:r w:rsidRPr="0053245F">
        <w:t>: permite la cesión de competencias a organizaciones internacionales como la UE, mediante ley orgánica.</w:t>
      </w:r>
    </w:p>
    <w:p w14:paraId="6250A691" w14:textId="77777777" w:rsidR="0053245F" w:rsidRPr="0053245F" w:rsidRDefault="0053245F" w:rsidP="0053245F">
      <w:pPr>
        <w:numPr>
          <w:ilvl w:val="0"/>
          <w:numId w:val="28"/>
        </w:numPr>
      </w:pPr>
      <w:r w:rsidRPr="0053245F">
        <w:rPr>
          <w:b/>
          <w:bCs/>
        </w:rPr>
        <w:t>Artículo 96 CE</w:t>
      </w:r>
      <w:r w:rsidRPr="0053245F">
        <w:t>: los tratados válidamente celebrados pasan a formar parte del ordenamiento interno.</w:t>
      </w:r>
    </w:p>
    <w:p w14:paraId="4B12EF67" w14:textId="2D95D9DC" w:rsidR="0053245F" w:rsidRPr="0053245F" w:rsidRDefault="0053245F" w:rsidP="0053245F">
      <w:pPr>
        <w:pStyle w:val="Ttulo2"/>
      </w:pPr>
      <w:bookmarkStart w:id="20" w:name="_Toc195604688"/>
      <w:r>
        <w:t>6</w:t>
      </w:r>
      <w:r w:rsidRPr="0053245F">
        <w:t>.2. Integración de España en la UE</w:t>
      </w:r>
      <w:r>
        <w:t>.</w:t>
      </w:r>
      <w:bookmarkEnd w:id="20"/>
    </w:p>
    <w:p w14:paraId="30771D62" w14:textId="77777777" w:rsidR="0053245F" w:rsidRPr="0053245F" w:rsidRDefault="0053245F" w:rsidP="0053245F">
      <w:pPr>
        <w:numPr>
          <w:ilvl w:val="0"/>
          <w:numId w:val="29"/>
        </w:numPr>
      </w:pPr>
      <w:r w:rsidRPr="0053245F">
        <w:t xml:space="preserve">España ingresó en la entonces Comunidad Económica Europea (CEE) el </w:t>
      </w:r>
      <w:r w:rsidRPr="0053245F">
        <w:rPr>
          <w:b/>
          <w:bCs/>
        </w:rPr>
        <w:t>1 de enero de 1986</w:t>
      </w:r>
      <w:r w:rsidRPr="0053245F">
        <w:t xml:space="preserve">, mediante el </w:t>
      </w:r>
      <w:r w:rsidRPr="0053245F">
        <w:rPr>
          <w:b/>
          <w:bCs/>
        </w:rPr>
        <w:t>Acta de Adhesión</w:t>
      </w:r>
      <w:r w:rsidRPr="0053245F">
        <w:t>.</w:t>
      </w:r>
    </w:p>
    <w:p w14:paraId="64AEFFB5" w14:textId="6FA8B258" w:rsidR="0053245F" w:rsidRPr="0053245F" w:rsidRDefault="0053245F" w:rsidP="0053245F">
      <w:pPr>
        <w:pStyle w:val="Ttulo2"/>
      </w:pPr>
      <w:bookmarkStart w:id="21" w:name="_Toc195604689"/>
      <w:r>
        <w:t>6</w:t>
      </w:r>
      <w:r w:rsidRPr="0053245F">
        <w:t>.3. Mecanismos de incorporación del Derecho de la UE</w:t>
      </w:r>
      <w:r>
        <w:t>.</w:t>
      </w:r>
      <w:bookmarkEnd w:id="21"/>
    </w:p>
    <w:p w14:paraId="2894AB0E" w14:textId="77777777" w:rsidR="0053245F" w:rsidRPr="0053245F" w:rsidRDefault="0053245F" w:rsidP="0053245F">
      <w:pPr>
        <w:numPr>
          <w:ilvl w:val="0"/>
          <w:numId w:val="30"/>
        </w:numPr>
      </w:pPr>
      <w:r w:rsidRPr="0053245F">
        <w:rPr>
          <w:b/>
          <w:bCs/>
        </w:rPr>
        <w:t>Reglamentos</w:t>
      </w:r>
      <w:r w:rsidRPr="0053245F">
        <w:t>: de aplicación directa.</w:t>
      </w:r>
    </w:p>
    <w:p w14:paraId="6A730BEE" w14:textId="77777777" w:rsidR="0053245F" w:rsidRPr="0053245F" w:rsidRDefault="0053245F" w:rsidP="0053245F">
      <w:pPr>
        <w:numPr>
          <w:ilvl w:val="0"/>
          <w:numId w:val="30"/>
        </w:numPr>
      </w:pPr>
      <w:r w:rsidRPr="0053245F">
        <w:rPr>
          <w:b/>
          <w:bCs/>
        </w:rPr>
        <w:t>Directivas</w:t>
      </w:r>
      <w:r w:rsidRPr="0053245F">
        <w:t xml:space="preserve">: requieren </w:t>
      </w:r>
      <w:r w:rsidRPr="0053245F">
        <w:rPr>
          <w:b/>
          <w:bCs/>
        </w:rPr>
        <w:t>normas de transposición nacionales</w:t>
      </w:r>
      <w:r w:rsidRPr="0053245F">
        <w:t>.</w:t>
      </w:r>
    </w:p>
    <w:p w14:paraId="693B81B3" w14:textId="6A2F579E" w:rsidR="0053245F" w:rsidRPr="0053245F" w:rsidRDefault="0053245F" w:rsidP="0053245F">
      <w:pPr>
        <w:numPr>
          <w:ilvl w:val="0"/>
          <w:numId w:val="30"/>
        </w:numPr>
      </w:pPr>
      <w:r w:rsidRPr="0053245F">
        <w:t>España ha adaptado su ordenamiento para permitir la recepción eficaz del Derecho europeo.</w:t>
      </w:r>
    </w:p>
    <w:p w14:paraId="2AEBAD02" w14:textId="6E627339" w:rsidR="0053245F" w:rsidRPr="0053245F" w:rsidRDefault="0053245F" w:rsidP="0053245F">
      <w:pPr>
        <w:pStyle w:val="Ttulo1"/>
      </w:pPr>
      <w:bookmarkStart w:id="22" w:name="_Toc195604690"/>
      <w:r>
        <w:lastRenderedPageBreak/>
        <w:t>7</w:t>
      </w:r>
      <w:r w:rsidRPr="0053245F">
        <w:t>. C</w:t>
      </w:r>
      <w:r w:rsidR="0075536D" w:rsidRPr="0053245F">
        <w:t>ontrol del derecho comunitario en españa</w:t>
      </w:r>
      <w:r w:rsidR="0075536D">
        <w:t>.</w:t>
      </w:r>
      <w:bookmarkEnd w:id="22"/>
    </w:p>
    <w:p w14:paraId="2E58FEAB" w14:textId="3B19AC2F" w:rsidR="0053245F" w:rsidRPr="0053245F" w:rsidRDefault="0053245F" w:rsidP="0053245F">
      <w:pPr>
        <w:pStyle w:val="Ttulo2"/>
      </w:pPr>
      <w:bookmarkStart w:id="23" w:name="_Toc195604691"/>
      <w:r>
        <w:t>7</w:t>
      </w:r>
      <w:r w:rsidRPr="0053245F">
        <w:t>.1. Control judicial</w:t>
      </w:r>
      <w:r>
        <w:t>.</w:t>
      </w:r>
      <w:bookmarkEnd w:id="23"/>
    </w:p>
    <w:p w14:paraId="272EB0E7" w14:textId="77777777" w:rsidR="0053245F" w:rsidRPr="0053245F" w:rsidRDefault="0053245F" w:rsidP="0053245F">
      <w:pPr>
        <w:numPr>
          <w:ilvl w:val="0"/>
          <w:numId w:val="31"/>
        </w:numPr>
      </w:pPr>
      <w:r w:rsidRPr="0053245F">
        <w:t xml:space="preserve">Los </w:t>
      </w:r>
      <w:r w:rsidRPr="0053245F">
        <w:rPr>
          <w:b/>
          <w:bCs/>
        </w:rPr>
        <w:t>jueces españoles aplican directamente el Derecho de la UE</w:t>
      </w:r>
      <w:r w:rsidRPr="0053245F">
        <w:t>.</w:t>
      </w:r>
    </w:p>
    <w:p w14:paraId="45454C09" w14:textId="19B16F07" w:rsidR="0053245F" w:rsidRPr="0053245F" w:rsidRDefault="0053245F" w:rsidP="0053245F">
      <w:pPr>
        <w:numPr>
          <w:ilvl w:val="0"/>
          <w:numId w:val="31"/>
        </w:numPr>
      </w:pPr>
      <w:r w:rsidRPr="0053245F">
        <w:t xml:space="preserve">Pueden elevar </w:t>
      </w:r>
      <w:r w:rsidRPr="0053245F">
        <w:rPr>
          <w:b/>
          <w:bCs/>
        </w:rPr>
        <w:t>cuestiones prejudiciales</w:t>
      </w:r>
      <w:r w:rsidRPr="0053245F">
        <w:t xml:space="preserve"> ante el TJUE (</w:t>
      </w:r>
      <w:r w:rsidR="008B3292">
        <w:t>artículo</w:t>
      </w:r>
      <w:r w:rsidRPr="0053245F">
        <w:t xml:space="preserve"> 267 TFUE).</w:t>
      </w:r>
    </w:p>
    <w:p w14:paraId="0E82BF01" w14:textId="3EC0F66C" w:rsidR="0053245F" w:rsidRPr="0053245F" w:rsidRDefault="0053245F" w:rsidP="0053245F">
      <w:pPr>
        <w:pStyle w:val="Ttulo2"/>
      </w:pPr>
      <w:bookmarkStart w:id="24" w:name="_Toc195604692"/>
      <w:r>
        <w:t>7.</w:t>
      </w:r>
      <w:r w:rsidRPr="0053245F">
        <w:t>2. Control parlamentario</w:t>
      </w:r>
      <w:r>
        <w:t>.</w:t>
      </w:r>
      <w:bookmarkEnd w:id="24"/>
    </w:p>
    <w:p w14:paraId="48E632A6" w14:textId="77777777" w:rsidR="0053245F" w:rsidRPr="0053245F" w:rsidRDefault="0053245F" w:rsidP="0053245F">
      <w:pPr>
        <w:numPr>
          <w:ilvl w:val="0"/>
          <w:numId w:val="32"/>
        </w:numPr>
      </w:pPr>
      <w:r w:rsidRPr="0053245F">
        <w:t xml:space="preserve">Las Cortes Generales y los parlamentos autonómicos pueden intervenir en el </w:t>
      </w:r>
      <w:r w:rsidRPr="0053245F">
        <w:rPr>
          <w:b/>
          <w:bCs/>
        </w:rPr>
        <w:t>control del principio de subsidiariedad</w:t>
      </w:r>
      <w:r w:rsidRPr="0053245F">
        <w:t>, revisando proyectos legislativos europeos.</w:t>
      </w:r>
    </w:p>
    <w:p w14:paraId="4231E75E" w14:textId="13723ECB" w:rsidR="0053245F" w:rsidRPr="0053245F" w:rsidRDefault="0053245F" w:rsidP="0053245F">
      <w:pPr>
        <w:pStyle w:val="Ttulo2"/>
      </w:pPr>
      <w:bookmarkStart w:id="25" w:name="_Toc195604693"/>
      <w:r>
        <w:t>7</w:t>
      </w:r>
      <w:r w:rsidRPr="0053245F">
        <w:t>.3. Papel del Tribunal Constitucional</w:t>
      </w:r>
      <w:r>
        <w:t>.</w:t>
      </w:r>
      <w:bookmarkEnd w:id="25"/>
    </w:p>
    <w:p w14:paraId="0F85CB8E" w14:textId="77777777" w:rsidR="0053245F" w:rsidRPr="0053245F" w:rsidRDefault="0053245F" w:rsidP="0053245F">
      <w:pPr>
        <w:numPr>
          <w:ilvl w:val="0"/>
          <w:numId w:val="33"/>
        </w:numPr>
      </w:pPr>
      <w:r w:rsidRPr="0053245F">
        <w:t xml:space="preserve">El </w:t>
      </w:r>
      <w:r w:rsidRPr="0053245F">
        <w:rPr>
          <w:b/>
          <w:bCs/>
        </w:rPr>
        <w:t>Tribunal Constitucional español</w:t>
      </w:r>
      <w:r w:rsidRPr="0053245F">
        <w:t xml:space="preserve"> no ejerce control directo sobre normas de la UE.</w:t>
      </w:r>
    </w:p>
    <w:p w14:paraId="1ADEC83A" w14:textId="77777777" w:rsidR="0053245F" w:rsidRPr="0053245F" w:rsidRDefault="0053245F" w:rsidP="0053245F">
      <w:pPr>
        <w:numPr>
          <w:ilvl w:val="0"/>
          <w:numId w:val="33"/>
        </w:numPr>
      </w:pPr>
      <w:r w:rsidRPr="0053245F">
        <w:t xml:space="preserve">Puede intervenir para valorar la </w:t>
      </w:r>
      <w:r w:rsidRPr="0053245F">
        <w:rPr>
          <w:b/>
          <w:bCs/>
        </w:rPr>
        <w:t>constitucionalidad de las leyes orgánicas</w:t>
      </w:r>
      <w:r w:rsidRPr="0053245F">
        <w:t xml:space="preserve"> que autorizan la cesión de competencias (STC 28/1991, STC 1/2004).</w:t>
      </w:r>
    </w:p>
    <w:p w14:paraId="69FEA0C5" w14:textId="3D81F2EE" w:rsidR="0053245F" w:rsidRPr="0053245F" w:rsidRDefault="0053414A" w:rsidP="0053245F">
      <w:pPr>
        <w:pStyle w:val="Ttulo1"/>
      </w:pPr>
      <w:bookmarkStart w:id="26" w:name="_Toc195604694"/>
      <w:r>
        <w:t>8</w:t>
      </w:r>
      <w:r w:rsidR="0053245F" w:rsidRPr="0053245F">
        <w:t>. C</w:t>
      </w:r>
      <w:r w:rsidR="0053245F" w:rsidRPr="0053245F">
        <w:t>onclusión</w:t>
      </w:r>
      <w:r w:rsidR="0053245F">
        <w:t>.</w:t>
      </w:r>
      <w:bookmarkEnd w:id="26"/>
    </w:p>
    <w:p w14:paraId="1CAEB459" w14:textId="0BEE5DAE" w:rsidR="0053245F" w:rsidRPr="0053245F" w:rsidRDefault="0053245F" w:rsidP="0053245F">
      <w:r w:rsidRPr="0053245F">
        <w:t>La Unión Europea constituye un sistema jurídico complejo y plenamente integrado en el ordenamiento español. Su derecho goza de eficacia directa, primacía y obligatoriedad, y debe ser aplicado por todas las autoridades nacionales. Las instituciones de la UE desarrollan políticas y normas que influyen directamente en la vida de los ciudadanos, por lo que el conocimiento de su funcionamiento es esencial para cualquier servidor público.</w:t>
      </w:r>
    </w:p>
    <w:sectPr w:rsidR="0053245F" w:rsidRPr="0053245F" w:rsidSect="00B33804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1DB7" w14:textId="77777777" w:rsidR="00D97BBB" w:rsidRDefault="00D97BBB" w:rsidP="00071F1B">
      <w:pPr>
        <w:spacing w:after="0" w:line="240" w:lineRule="auto"/>
      </w:pPr>
      <w:r>
        <w:separator/>
      </w:r>
    </w:p>
  </w:endnote>
  <w:endnote w:type="continuationSeparator" w:id="0">
    <w:p w14:paraId="1867DD69" w14:textId="77777777" w:rsidR="00D97BBB" w:rsidRDefault="00D97BBB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7F9" w14:textId="68D8EE8E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92E961A" wp14:editId="0B414FF2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E5A20E" w14:textId="77777777" w:rsidR="00630174" w:rsidRDefault="00630174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E961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40E5A20E" w14:textId="77777777" w:rsidR="00630174" w:rsidRDefault="00630174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FCB9A" w14:textId="77777777" w:rsidR="00D97BBB" w:rsidRDefault="00D97BBB" w:rsidP="00071F1B">
      <w:pPr>
        <w:spacing w:after="0" w:line="240" w:lineRule="auto"/>
      </w:pPr>
      <w:r>
        <w:separator/>
      </w:r>
    </w:p>
  </w:footnote>
  <w:footnote w:type="continuationSeparator" w:id="0">
    <w:p w14:paraId="255DB98E" w14:textId="77777777" w:rsidR="00D97BBB" w:rsidRDefault="00D97BBB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B4E7" w14:textId="5B102216" w:rsidR="0098207D" w:rsidRDefault="00A46E2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F6853AD" wp14:editId="2F03CB31">
              <wp:simplePos x="0" y="0"/>
              <wp:positionH relativeFrom="column">
                <wp:posOffset>-325755</wp:posOffset>
              </wp:positionH>
              <wp:positionV relativeFrom="paragraph">
                <wp:posOffset>-236220</wp:posOffset>
              </wp:positionV>
              <wp:extent cx="5532120" cy="419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BB191" w14:textId="0E06C51C" w:rsidR="0098207D" w:rsidRPr="0026243F" w:rsidRDefault="0053245F" w:rsidP="00A46E25">
                          <w:pPr>
                            <w:pStyle w:val="Nombretemaencabezado"/>
                            <w:rPr>
                              <w:rFonts w:asciiTheme="majorHAnsi" w:hAnsiTheme="majorHAnsi" w:cstheme="majorHAnsi"/>
                            </w:rPr>
                          </w:pPr>
                          <w:r w:rsidRPr="0053245F">
                            <w:rPr>
                              <w:rFonts w:asciiTheme="majorHAnsi" w:eastAsiaTheme="minorHAnsi" w:hAnsiTheme="majorHAnsi" w:cstheme="majorHAnsi"/>
                              <w:spacing w:val="0"/>
                              <w:kern w:val="0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  <w14:lumMod w14:val="75000"/>
                                    <w14:lumOff w14:val="25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La Unión Europea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853A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65pt;margin-top:-18.6pt;width:435.6pt;height:3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" filled="f" stroked="f">
              <v:textbox>
                <w:txbxContent>
                  <w:p w14:paraId="6D8BB191" w14:textId="0E06C51C" w:rsidR="0098207D" w:rsidRPr="0026243F" w:rsidRDefault="0053245F" w:rsidP="00A46E25">
                    <w:pPr>
                      <w:pStyle w:val="Nombretemaencabezado"/>
                      <w:rPr>
                        <w:rFonts w:asciiTheme="majorHAnsi" w:hAnsiTheme="majorHAnsi" w:cstheme="majorHAnsi"/>
                      </w:rPr>
                    </w:pPr>
                    <w:r w:rsidRPr="0053245F">
                      <w:rPr>
                        <w:rFonts w:asciiTheme="majorHAnsi" w:eastAsiaTheme="minorHAnsi" w:hAnsiTheme="majorHAnsi" w:cstheme="majorHAnsi"/>
                        <w:spacing w:val="0"/>
                        <w:kern w:val="0"/>
                        <w14:textFill>
                          <w14:solidFill>
                            <w14:schemeClr w14:val="tx1">
                              <w14:lumMod w14:val="85000"/>
                              <w14:lumOff w14:val="15000"/>
                              <w14:lumMod w14:val="75000"/>
                              <w14:lumOff w14:val="25000"/>
                              <w14:lumMod w14:val="75000"/>
                            </w14:schemeClr>
                          </w14:solidFill>
                        </w14:textFill>
                      </w:rPr>
                      <w:t>La Unión Europea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1701189" wp14:editId="0EB6BAE8">
              <wp:simplePos x="0" y="0"/>
              <wp:positionH relativeFrom="rightMargin">
                <wp:posOffset>-193675</wp:posOffset>
              </wp:positionH>
              <wp:positionV relativeFrom="bottomMargin">
                <wp:posOffset>-9594215</wp:posOffset>
              </wp:positionV>
              <wp:extent cx="819150" cy="340995"/>
              <wp:effectExtent l="0" t="0" r="0" b="1905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4099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18451" w14:textId="0F62AC33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>Tema</w:t>
                          </w:r>
                          <w:r w:rsidR="0053245F">
                            <w:t xml:space="preserve"> 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01189" id="Rectángulo 10" o:spid="_x0000_s1027" style="position:absolute;left:0;text-align:left;margin-left:-15.25pt;margin-top:-755.45pt;width:64.5pt;height:26.85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" fillcolor="#0057a6" stroked="f" strokeweight="3pt">
              <v:textbox>
                <w:txbxContent>
                  <w:p w14:paraId="50618451" w14:textId="0F62AC33" w:rsidR="0098207D" w:rsidRPr="0098207D" w:rsidRDefault="0098207D" w:rsidP="0098207D">
                    <w:pPr>
                      <w:pStyle w:val="NTemaencabezado"/>
                    </w:pPr>
                    <w:r w:rsidRPr="0098207D">
                      <w:t>Tema</w:t>
                    </w:r>
                    <w:r w:rsidR="0053245F">
                      <w:t xml:space="preserve"> 15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90F1301" wp14:editId="1258F152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F26983"/>
    <w:multiLevelType w:val="multilevel"/>
    <w:tmpl w:val="2336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5491F"/>
    <w:multiLevelType w:val="multilevel"/>
    <w:tmpl w:val="CBA078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90C1C45"/>
    <w:multiLevelType w:val="multilevel"/>
    <w:tmpl w:val="739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438E0"/>
    <w:multiLevelType w:val="multilevel"/>
    <w:tmpl w:val="6A98E4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6793925"/>
    <w:multiLevelType w:val="multilevel"/>
    <w:tmpl w:val="E514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857F27"/>
    <w:multiLevelType w:val="multilevel"/>
    <w:tmpl w:val="897E3D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989259E"/>
    <w:multiLevelType w:val="multilevel"/>
    <w:tmpl w:val="CDDE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F2848"/>
    <w:multiLevelType w:val="multilevel"/>
    <w:tmpl w:val="F5205A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0043926"/>
    <w:multiLevelType w:val="multilevel"/>
    <w:tmpl w:val="3CB2FE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5AD5B65"/>
    <w:multiLevelType w:val="multilevel"/>
    <w:tmpl w:val="E44241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8C21934"/>
    <w:multiLevelType w:val="multilevel"/>
    <w:tmpl w:val="381299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B614937"/>
    <w:multiLevelType w:val="multilevel"/>
    <w:tmpl w:val="F24E3C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15800B0"/>
    <w:multiLevelType w:val="multilevel"/>
    <w:tmpl w:val="21E25B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2C24D6D"/>
    <w:multiLevelType w:val="multilevel"/>
    <w:tmpl w:val="13A874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3C17AED"/>
    <w:multiLevelType w:val="multilevel"/>
    <w:tmpl w:val="62F4A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A46BF"/>
    <w:multiLevelType w:val="multilevel"/>
    <w:tmpl w:val="9A8EA0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B565896"/>
    <w:multiLevelType w:val="multilevel"/>
    <w:tmpl w:val="54861E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0E52822"/>
    <w:multiLevelType w:val="multilevel"/>
    <w:tmpl w:val="A6A8F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2C05CCC"/>
    <w:multiLevelType w:val="multilevel"/>
    <w:tmpl w:val="99AE19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562C1AE6"/>
    <w:multiLevelType w:val="multilevel"/>
    <w:tmpl w:val="467C72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5" w15:restartNumberingAfterBreak="0">
    <w:nsid w:val="5E0234EC"/>
    <w:multiLevelType w:val="multilevel"/>
    <w:tmpl w:val="204C67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E1C1CA6"/>
    <w:multiLevelType w:val="multilevel"/>
    <w:tmpl w:val="8B9087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5F2270B7"/>
    <w:multiLevelType w:val="multilevel"/>
    <w:tmpl w:val="C9E285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535734B"/>
    <w:multiLevelType w:val="multilevel"/>
    <w:tmpl w:val="92B225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67725F9E"/>
    <w:multiLevelType w:val="multilevel"/>
    <w:tmpl w:val="D474F5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6A6C7902"/>
    <w:multiLevelType w:val="multilevel"/>
    <w:tmpl w:val="2064DC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6BEB5233"/>
    <w:multiLevelType w:val="multilevel"/>
    <w:tmpl w:val="58E2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7D4AA5"/>
    <w:multiLevelType w:val="multilevel"/>
    <w:tmpl w:val="B54EED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6622405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346531">
    <w:abstractNumId w:val="24"/>
  </w:num>
  <w:num w:numId="3" w16cid:durableId="1026054251">
    <w:abstractNumId w:val="0"/>
  </w:num>
  <w:num w:numId="4" w16cid:durableId="375206057">
    <w:abstractNumId w:val="18"/>
  </w:num>
  <w:num w:numId="5" w16cid:durableId="1722291121">
    <w:abstractNumId w:val="1"/>
  </w:num>
  <w:num w:numId="6" w16cid:durableId="257636180">
    <w:abstractNumId w:val="2"/>
  </w:num>
  <w:num w:numId="7" w16cid:durableId="1364210288">
    <w:abstractNumId w:val="31"/>
  </w:num>
  <w:num w:numId="8" w16cid:durableId="1238321267">
    <w:abstractNumId w:val="7"/>
  </w:num>
  <w:num w:numId="9" w16cid:durableId="1824618512">
    <w:abstractNumId w:val="5"/>
  </w:num>
  <w:num w:numId="10" w16cid:durableId="1752123652">
    <w:abstractNumId w:val="9"/>
  </w:num>
  <w:num w:numId="11" w16cid:durableId="1625573952">
    <w:abstractNumId w:val="6"/>
  </w:num>
  <w:num w:numId="12" w16cid:durableId="1379546914">
    <w:abstractNumId w:val="21"/>
  </w:num>
  <w:num w:numId="13" w16cid:durableId="570193962">
    <w:abstractNumId w:val="26"/>
  </w:num>
  <w:num w:numId="14" w16cid:durableId="1086194468">
    <w:abstractNumId w:val="15"/>
  </w:num>
  <w:num w:numId="15" w16cid:durableId="1345861599">
    <w:abstractNumId w:val="11"/>
  </w:num>
  <w:num w:numId="16" w16cid:durableId="796142297">
    <w:abstractNumId w:val="12"/>
  </w:num>
  <w:num w:numId="17" w16cid:durableId="840239485">
    <w:abstractNumId w:val="3"/>
  </w:num>
  <w:num w:numId="18" w16cid:durableId="556360700">
    <w:abstractNumId w:val="17"/>
  </w:num>
  <w:num w:numId="19" w16cid:durableId="1488285704">
    <w:abstractNumId w:val="32"/>
  </w:num>
  <w:num w:numId="20" w16cid:durableId="1892036015">
    <w:abstractNumId w:val="8"/>
  </w:num>
  <w:num w:numId="21" w16cid:durableId="1373925418">
    <w:abstractNumId w:val="14"/>
  </w:num>
  <w:num w:numId="22" w16cid:durableId="508177773">
    <w:abstractNumId w:val="20"/>
  </w:num>
  <w:num w:numId="23" w16cid:durableId="1437362021">
    <w:abstractNumId w:val="25"/>
  </w:num>
  <w:num w:numId="24" w16cid:durableId="359283122">
    <w:abstractNumId w:val="30"/>
  </w:num>
  <w:num w:numId="25" w16cid:durableId="120147895">
    <w:abstractNumId w:val="10"/>
  </w:num>
  <w:num w:numId="26" w16cid:durableId="1278364892">
    <w:abstractNumId w:val="29"/>
  </w:num>
  <w:num w:numId="27" w16cid:durableId="1963226218">
    <w:abstractNumId w:val="22"/>
  </w:num>
  <w:num w:numId="28" w16cid:durableId="887493200">
    <w:abstractNumId w:val="23"/>
  </w:num>
  <w:num w:numId="29" w16cid:durableId="1683585558">
    <w:abstractNumId w:val="19"/>
  </w:num>
  <w:num w:numId="30" w16cid:durableId="1913739007">
    <w:abstractNumId w:val="27"/>
  </w:num>
  <w:num w:numId="31" w16cid:durableId="1206943030">
    <w:abstractNumId w:val="13"/>
  </w:num>
  <w:num w:numId="32" w16cid:durableId="688456922">
    <w:abstractNumId w:val="28"/>
  </w:num>
  <w:num w:numId="33" w16cid:durableId="209014920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12CD"/>
    <w:rsid w:val="00007CA3"/>
    <w:rsid w:val="00055DC0"/>
    <w:rsid w:val="00071F1B"/>
    <w:rsid w:val="00090B26"/>
    <w:rsid w:val="00091404"/>
    <w:rsid w:val="0009610D"/>
    <w:rsid w:val="00096A52"/>
    <w:rsid w:val="000B3C65"/>
    <w:rsid w:val="000D2606"/>
    <w:rsid w:val="000F0D94"/>
    <w:rsid w:val="000F5FD8"/>
    <w:rsid w:val="000F73C2"/>
    <w:rsid w:val="00110773"/>
    <w:rsid w:val="00113133"/>
    <w:rsid w:val="001221B6"/>
    <w:rsid w:val="001223E0"/>
    <w:rsid w:val="00123F9C"/>
    <w:rsid w:val="00130D6B"/>
    <w:rsid w:val="001453ED"/>
    <w:rsid w:val="001602BA"/>
    <w:rsid w:val="00177287"/>
    <w:rsid w:val="001C27A8"/>
    <w:rsid w:val="001E2C60"/>
    <w:rsid w:val="001F7D6E"/>
    <w:rsid w:val="0023648E"/>
    <w:rsid w:val="00251428"/>
    <w:rsid w:val="0026243F"/>
    <w:rsid w:val="002961CF"/>
    <w:rsid w:val="002A0230"/>
    <w:rsid w:val="002D1AC2"/>
    <w:rsid w:val="003038E9"/>
    <w:rsid w:val="0030707F"/>
    <w:rsid w:val="00315E55"/>
    <w:rsid w:val="00340046"/>
    <w:rsid w:val="00341670"/>
    <w:rsid w:val="00343E1F"/>
    <w:rsid w:val="003613EA"/>
    <w:rsid w:val="00395E5C"/>
    <w:rsid w:val="003A440A"/>
    <w:rsid w:val="003B1835"/>
    <w:rsid w:val="003B7369"/>
    <w:rsid w:val="003F0891"/>
    <w:rsid w:val="00402F25"/>
    <w:rsid w:val="00422715"/>
    <w:rsid w:val="0042567C"/>
    <w:rsid w:val="00435FDE"/>
    <w:rsid w:val="004456BE"/>
    <w:rsid w:val="00451E6E"/>
    <w:rsid w:val="004641FD"/>
    <w:rsid w:val="00471D2C"/>
    <w:rsid w:val="00485E13"/>
    <w:rsid w:val="004C58D4"/>
    <w:rsid w:val="004D0A71"/>
    <w:rsid w:val="004E668D"/>
    <w:rsid w:val="0053245F"/>
    <w:rsid w:val="0053414A"/>
    <w:rsid w:val="0054117A"/>
    <w:rsid w:val="005859C9"/>
    <w:rsid w:val="00590D9D"/>
    <w:rsid w:val="005929C4"/>
    <w:rsid w:val="005A7B61"/>
    <w:rsid w:val="005C5212"/>
    <w:rsid w:val="005E11E1"/>
    <w:rsid w:val="005E3DD0"/>
    <w:rsid w:val="005F2FF6"/>
    <w:rsid w:val="006042FB"/>
    <w:rsid w:val="00612CB0"/>
    <w:rsid w:val="00621BD1"/>
    <w:rsid w:val="00630174"/>
    <w:rsid w:val="00631822"/>
    <w:rsid w:val="00633ACD"/>
    <w:rsid w:val="00640969"/>
    <w:rsid w:val="00641596"/>
    <w:rsid w:val="006A2E4F"/>
    <w:rsid w:val="006A7843"/>
    <w:rsid w:val="006D5040"/>
    <w:rsid w:val="006E6F52"/>
    <w:rsid w:val="006F2D70"/>
    <w:rsid w:val="00744103"/>
    <w:rsid w:val="00745777"/>
    <w:rsid w:val="00753968"/>
    <w:rsid w:val="007549F8"/>
    <w:rsid w:val="0075536D"/>
    <w:rsid w:val="00761E92"/>
    <w:rsid w:val="00795AB9"/>
    <w:rsid w:val="007A27F1"/>
    <w:rsid w:val="007B35A7"/>
    <w:rsid w:val="007B388B"/>
    <w:rsid w:val="007B5640"/>
    <w:rsid w:val="007C354F"/>
    <w:rsid w:val="007E6D18"/>
    <w:rsid w:val="007F0B04"/>
    <w:rsid w:val="007F5026"/>
    <w:rsid w:val="00803DA7"/>
    <w:rsid w:val="00860B84"/>
    <w:rsid w:val="008755D1"/>
    <w:rsid w:val="00890735"/>
    <w:rsid w:val="00891FBA"/>
    <w:rsid w:val="008A2F6B"/>
    <w:rsid w:val="008A72E3"/>
    <w:rsid w:val="008B3292"/>
    <w:rsid w:val="008B352C"/>
    <w:rsid w:val="008C09B7"/>
    <w:rsid w:val="008D63A8"/>
    <w:rsid w:val="008E7856"/>
    <w:rsid w:val="008E7B01"/>
    <w:rsid w:val="008F2DC3"/>
    <w:rsid w:val="00902AA8"/>
    <w:rsid w:val="0091090D"/>
    <w:rsid w:val="00910C23"/>
    <w:rsid w:val="00913350"/>
    <w:rsid w:val="00953FD5"/>
    <w:rsid w:val="0098190E"/>
    <w:rsid w:val="0098207D"/>
    <w:rsid w:val="00987CDA"/>
    <w:rsid w:val="0099642A"/>
    <w:rsid w:val="00997F58"/>
    <w:rsid w:val="009A19D2"/>
    <w:rsid w:val="009D257C"/>
    <w:rsid w:val="009D6636"/>
    <w:rsid w:val="009F3F49"/>
    <w:rsid w:val="009F770F"/>
    <w:rsid w:val="00A46E25"/>
    <w:rsid w:val="00A7514D"/>
    <w:rsid w:val="00A7671A"/>
    <w:rsid w:val="00A848FD"/>
    <w:rsid w:val="00A84923"/>
    <w:rsid w:val="00AA1B93"/>
    <w:rsid w:val="00AA3B6B"/>
    <w:rsid w:val="00AB4B70"/>
    <w:rsid w:val="00AC5CCB"/>
    <w:rsid w:val="00AC6E29"/>
    <w:rsid w:val="00AD0381"/>
    <w:rsid w:val="00AD3BBB"/>
    <w:rsid w:val="00AD4E0F"/>
    <w:rsid w:val="00B041B9"/>
    <w:rsid w:val="00B112C2"/>
    <w:rsid w:val="00B33804"/>
    <w:rsid w:val="00B40EA9"/>
    <w:rsid w:val="00B54A55"/>
    <w:rsid w:val="00B6535D"/>
    <w:rsid w:val="00B77CAD"/>
    <w:rsid w:val="00B926C1"/>
    <w:rsid w:val="00BA5903"/>
    <w:rsid w:val="00BC7D41"/>
    <w:rsid w:val="00C442F7"/>
    <w:rsid w:val="00C47171"/>
    <w:rsid w:val="00C54DF2"/>
    <w:rsid w:val="00CC4809"/>
    <w:rsid w:val="00CE5323"/>
    <w:rsid w:val="00CE610A"/>
    <w:rsid w:val="00CF1543"/>
    <w:rsid w:val="00CF160E"/>
    <w:rsid w:val="00CF287D"/>
    <w:rsid w:val="00D0068B"/>
    <w:rsid w:val="00D05852"/>
    <w:rsid w:val="00D15B34"/>
    <w:rsid w:val="00D52ED0"/>
    <w:rsid w:val="00D608FC"/>
    <w:rsid w:val="00D74BF1"/>
    <w:rsid w:val="00D804F5"/>
    <w:rsid w:val="00D97BBB"/>
    <w:rsid w:val="00DA26A4"/>
    <w:rsid w:val="00DA26C5"/>
    <w:rsid w:val="00DA3DB7"/>
    <w:rsid w:val="00DA6150"/>
    <w:rsid w:val="00DB259C"/>
    <w:rsid w:val="00DB3D2A"/>
    <w:rsid w:val="00DC5987"/>
    <w:rsid w:val="00DF2F29"/>
    <w:rsid w:val="00E04CDE"/>
    <w:rsid w:val="00E5622B"/>
    <w:rsid w:val="00E71AFB"/>
    <w:rsid w:val="00E74CC0"/>
    <w:rsid w:val="00E754E9"/>
    <w:rsid w:val="00E93660"/>
    <w:rsid w:val="00E94635"/>
    <w:rsid w:val="00EA51C0"/>
    <w:rsid w:val="00EA576F"/>
    <w:rsid w:val="00EA5E3B"/>
    <w:rsid w:val="00EB2A85"/>
    <w:rsid w:val="00EE0DFF"/>
    <w:rsid w:val="00EE1160"/>
    <w:rsid w:val="00EE4A83"/>
    <w:rsid w:val="00EE7EF7"/>
    <w:rsid w:val="00F05BB5"/>
    <w:rsid w:val="00F30BC2"/>
    <w:rsid w:val="00F333F8"/>
    <w:rsid w:val="00F74BE5"/>
    <w:rsid w:val="00F82756"/>
    <w:rsid w:val="00F9062F"/>
    <w:rsid w:val="00F92BFC"/>
    <w:rsid w:val="00FA7D81"/>
    <w:rsid w:val="00FD4211"/>
    <w:rsid w:val="00FE74BA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9FF7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83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C7D41"/>
    <w:pPr>
      <w:keepNext/>
      <w:keepLines/>
      <w:spacing w:before="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EE4A83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="Calibri"/>
      <w:b/>
      <w:bCs/>
      <w:color w:val="0070C0"/>
      <w:sz w:val="36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4A83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400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6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0F5FD8"/>
    <w:pPr>
      <w:tabs>
        <w:tab w:val="left" w:pos="5529"/>
      </w:tabs>
    </w:pPr>
    <w:rPr>
      <w:rFonts w:ascii="Lato" w:eastAsia="Times New Roman" w:hAnsi="Lato" w:cs="Times New Roman"/>
      <w:color w:val="auto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096A52"/>
    <w:pPr>
      <w:spacing w:before="0"/>
    </w:pPr>
    <w:rPr>
      <w:rFonts w:ascii="Lato" w:eastAsia="Times New Roman" w:hAnsi="Lato" w:cstheme="minorHAnsi"/>
      <w:bCs/>
      <w:color w:val="2F5496" w:themeColor="accent5" w:themeShade="BF"/>
      <w:sz w:val="36"/>
      <w:szCs w:val="3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C7D41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AA1B93"/>
    <w:pPr>
      <w:jc w:val="right"/>
    </w:pPr>
    <w:rPr>
      <w:rFonts w:asciiTheme="minorHAnsi" w:hAnsiTheme="minorHAnsi" w:cstheme="minorHAnsi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AA1B93"/>
    <w:rPr>
      <w:rFonts w:eastAsiaTheme="majorEastAsia" w:cstheme="minorHAnsi"/>
      <w:color w:val="000000" w:themeColor="text1"/>
      <w:spacing w:val="-10"/>
      <w:kern w:val="28"/>
      <w:sz w:val="20"/>
      <w:szCs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EE4A83"/>
    <w:rPr>
      <w:rFonts w:asciiTheme="majorHAnsi" w:eastAsiaTheme="majorEastAsia" w:hAnsiTheme="majorHAnsi" w:cs="Calibri"/>
      <w:b/>
      <w:bCs/>
      <w:color w:val="0070C0"/>
      <w:sz w:val="36"/>
      <w:szCs w:val="24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line="360" w:lineRule="auto"/>
      <w:ind w:left="360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customStyle="1" w:styleId="Textbody">
    <w:name w:val="Text body"/>
    <w:basedOn w:val="Normal"/>
    <w:rsid w:val="00E74CC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color w:val="auto"/>
      <w:kern w:val="3"/>
      <w:szCs w:val="24"/>
      <w:lang w:eastAsia="zh-CN" w:bidi="hi-IN"/>
    </w:rPr>
  </w:style>
  <w:style w:type="character" w:styleId="nfasis">
    <w:name w:val="Emphasis"/>
    <w:uiPriority w:val="20"/>
    <w:qFormat/>
    <w:rsid w:val="00E74CC0"/>
    <w:rPr>
      <w:i/>
      <w:iCs/>
    </w:rPr>
  </w:style>
  <w:style w:type="paragraph" w:customStyle="1" w:styleId="activity">
    <w:name w:val="activity"/>
    <w:basedOn w:val="Normal"/>
    <w:rsid w:val="009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4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67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EE4A83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400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340046"/>
    <w:rPr>
      <w:b/>
      <w:bCs/>
    </w:rPr>
  </w:style>
  <w:style w:type="paragraph" w:customStyle="1" w:styleId="parrafo">
    <w:name w:val="parrafo"/>
    <w:basedOn w:val="Normal"/>
    <w:rsid w:val="00C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parrafo2">
    <w:name w:val="parrafo_2"/>
    <w:basedOn w:val="Normal"/>
    <w:rsid w:val="00C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centroredonda">
    <w:name w:val="centro_redonda"/>
    <w:basedOn w:val="Normal"/>
    <w:rsid w:val="00EA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al-justificada">
    <w:name w:val="al-justificada"/>
    <w:basedOn w:val="Normal"/>
    <w:rsid w:val="00EB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al-centrada">
    <w:name w:val="al-centrada"/>
    <w:basedOn w:val="Normal"/>
    <w:rsid w:val="00EB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table" w:styleId="Tablaconcuadrcula">
    <w:name w:val="Table Grid"/>
    <w:basedOn w:val="Tablanormal"/>
    <w:uiPriority w:val="39"/>
    <w:rsid w:val="005A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4641F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3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8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920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  <w:divsChild>
                    <w:div w:id="20992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1864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825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  <w:divsChild>
                    <w:div w:id="15350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97465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787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auto"/>
                    <w:right w:val="none" w:sz="0" w:space="0" w:color="DDDDDD"/>
                  </w:divBdr>
                  <w:divsChild>
                    <w:div w:id="15534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032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325406523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846291477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600339292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487593238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446437512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1253275600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</w:divsChild>
    </w:div>
    <w:div w:id="1349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623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1276600560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1577009237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  <w:div w:id="470827691">
          <w:marLeft w:val="0"/>
          <w:marRight w:val="3840"/>
          <w:marTop w:val="0"/>
          <w:marBottom w:val="0"/>
          <w:divBdr>
            <w:top w:val="none" w:sz="0" w:space="1" w:color="auto"/>
            <w:left w:val="none" w:sz="0" w:space="12" w:color="auto"/>
            <w:bottom w:val="none" w:sz="0" w:space="1" w:color="auto"/>
            <w:right w:val="none" w:sz="0" w:space="12" w:color="auto"/>
          </w:divBdr>
        </w:div>
      </w:divsChild>
    </w:div>
    <w:div w:id="1906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D2AC-9A93-4E49-9BAD-E83A6132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5</cp:revision>
  <cp:lastPrinted>2021-12-02T21:09:00Z</cp:lastPrinted>
  <dcterms:created xsi:type="dcterms:W3CDTF">2025-04-15T08:17:00Z</dcterms:created>
  <dcterms:modified xsi:type="dcterms:W3CDTF">2025-04-15T08:18:00Z</dcterms:modified>
</cp:coreProperties>
</file>